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A9828">
      <w:pPr>
        <w:pStyle w:val="4"/>
        <w:widowControl/>
        <w:adjustRightInd w:val="0"/>
        <w:snapToGrid w:val="0"/>
        <w:spacing w:beforeAutospacing="0" w:afterAutospacing="0" w:line="560" w:lineRule="exact"/>
        <w:ind w:firstLine="880" w:firstLineChars="200"/>
        <w:jc w:val="center"/>
        <w:rPr>
          <w:rFonts w:hint="eastAsia" w:ascii="方正小标宋简体" w:hAnsi="方正小标宋简体" w:eastAsia="方正小标宋简体" w:cs="方正小标宋简体"/>
          <w:color w:val="000000"/>
          <w:w w:val="100"/>
          <w:sz w:val="44"/>
          <w:szCs w:val="44"/>
        </w:rPr>
      </w:pPr>
      <w:r>
        <w:rPr>
          <w:rFonts w:hint="eastAsia" w:ascii="方正小标宋简体" w:hAnsi="方正小标宋简体" w:eastAsia="方正小标宋简体" w:cs="方正小标宋简体"/>
          <w:color w:val="000000"/>
          <w:w w:val="100"/>
          <w:sz w:val="44"/>
          <w:szCs w:val="44"/>
        </w:rPr>
        <w:t>济南市南部山区管理委员会</w:t>
      </w:r>
    </w:p>
    <w:p w14:paraId="120FBB17">
      <w:pPr>
        <w:pStyle w:val="4"/>
        <w:widowControl/>
        <w:tabs>
          <w:tab w:val="left" w:pos="2730"/>
        </w:tabs>
        <w:adjustRightInd w:val="0"/>
        <w:snapToGrid w:val="0"/>
        <w:spacing w:beforeAutospacing="0" w:afterAutospacing="0" w:line="560" w:lineRule="exact"/>
        <w:ind w:firstLine="880" w:firstLineChars="200"/>
        <w:jc w:val="center"/>
        <w:rPr>
          <w:rFonts w:hint="eastAsia" w:ascii="方正小标宋简体" w:hAnsi="方正小标宋简体" w:eastAsia="方正小标宋简体" w:cs="方正小标宋简体"/>
          <w:color w:val="000000"/>
          <w:w w:val="100"/>
          <w:sz w:val="44"/>
          <w:szCs w:val="44"/>
        </w:rPr>
      </w:pPr>
      <w:r>
        <w:rPr>
          <w:rFonts w:hint="eastAsia" w:ascii="方正小标宋简体" w:hAnsi="方正小标宋简体" w:eastAsia="方正小标宋简体" w:cs="方正小标宋简体"/>
          <w:color w:val="000000"/>
          <w:w w:val="100"/>
          <w:sz w:val="44"/>
          <w:szCs w:val="44"/>
        </w:rPr>
        <w:t>行政复议决定书</w:t>
      </w:r>
    </w:p>
    <w:p w14:paraId="483C0456">
      <w:pPr>
        <w:pStyle w:val="4"/>
        <w:widowControl/>
        <w:adjustRightInd w:val="0"/>
        <w:snapToGrid w:val="0"/>
        <w:spacing w:beforeAutospacing="0" w:afterAutospacing="0" w:line="560" w:lineRule="exact"/>
        <w:ind w:firstLine="640" w:firstLineChars="200"/>
        <w:jc w:val="right"/>
        <w:rPr>
          <w:rFonts w:ascii="仿宋_GB2312" w:hAnsi="Calibri" w:eastAsia="仿宋_GB2312" w:cs="仿宋_GB2312"/>
          <w:color w:val="000000"/>
          <w:w w:val="100"/>
          <w:sz w:val="32"/>
          <w:szCs w:val="32"/>
        </w:rPr>
      </w:pPr>
      <w:r>
        <w:rPr>
          <w:rFonts w:hint="eastAsia" w:ascii="仿宋_GB2312" w:hAnsi="Calibri" w:eastAsia="仿宋_GB2312" w:cs="仿宋_GB2312"/>
          <w:color w:val="000000"/>
          <w:w w:val="100"/>
          <w:sz w:val="32"/>
          <w:szCs w:val="32"/>
        </w:rPr>
        <w:t>济南山复决字〔2025〕14号</w:t>
      </w:r>
    </w:p>
    <w:p w14:paraId="7AF7AE65">
      <w:pPr>
        <w:pStyle w:val="4"/>
        <w:widowControl/>
        <w:spacing w:beforeAutospacing="0" w:afterAutospacing="0" w:line="560" w:lineRule="exact"/>
        <w:ind w:firstLine="640" w:firstLineChars="200"/>
        <w:jc w:val="both"/>
        <w:rPr>
          <w:rFonts w:ascii="黑体" w:hAnsi="宋体" w:eastAsia="黑体" w:cs="黑体"/>
          <w:color w:val="000000"/>
          <w:w w:val="100"/>
          <w:sz w:val="32"/>
          <w:szCs w:val="32"/>
        </w:rPr>
      </w:pPr>
    </w:p>
    <w:p w14:paraId="2B897BDF">
      <w:pPr>
        <w:pStyle w:val="4"/>
        <w:widowControl/>
        <w:spacing w:beforeAutospacing="0" w:afterAutospacing="0" w:line="560" w:lineRule="exact"/>
        <w:ind w:firstLine="640" w:firstLineChars="200"/>
        <w:jc w:val="both"/>
        <w:rPr>
          <w:rFonts w:hint="eastAsia" w:ascii="仿宋_GB2312" w:hAnsi="仿宋_GB2312" w:eastAsia="仿宋_GB2312" w:cs="仿宋_GB2312"/>
          <w:w w:val="100"/>
          <w:sz w:val="32"/>
          <w:szCs w:val="32"/>
        </w:rPr>
      </w:pPr>
      <w:r>
        <w:rPr>
          <w:rFonts w:ascii="黑体" w:hAnsi="宋体" w:eastAsia="黑体" w:cs="黑体"/>
          <w:color w:val="000000"/>
          <w:w w:val="100"/>
          <w:sz w:val="32"/>
          <w:szCs w:val="32"/>
        </w:rPr>
        <w:t>申请人</w:t>
      </w:r>
      <w:r>
        <w:rPr>
          <w:rFonts w:hint="eastAsia" w:ascii="黑体" w:hAnsi="宋体" w:eastAsia="黑体" w:cs="黑体"/>
          <w:color w:val="000000"/>
          <w:w w:val="100"/>
          <w:sz w:val="32"/>
          <w:szCs w:val="32"/>
        </w:rPr>
        <w:t>：</w:t>
      </w:r>
      <w:r>
        <w:rPr>
          <w:rFonts w:hint="eastAsia" w:ascii="仿宋_GB2312" w:hAnsi="仿宋_GB2312" w:eastAsia="仿宋_GB2312" w:cs="仿宋_GB2312"/>
          <w:color w:val="000000"/>
          <w:w w:val="100"/>
          <w:sz w:val="32"/>
          <w:szCs w:val="32"/>
        </w:rPr>
        <w:t>王</w:t>
      </w:r>
      <w:r>
        <w:rPr>
          <w:rFonts w:hint="eastAsia" w:ascii="仿宋_GB2312" w:hAnsi="仿宋_GB2312" w:eastAsia="仿宋_GB2312" w:cs="仿宋_GB2312"/>
          <w:color w:val="000000"/>
          <w:w w:val="100"/>
          <w:sz w:val="32"/>
          <w:szCs w:val="32"/>
          <w:lang w:val="en-US" w:eastAsia="zh-CN"/>
        </w:rPr>
        <w:t>某某</w:t>
      </w:r>
      <w:r>
        <w:rPr>
          <w:rFonts w:hint="eastAsia" w:ascii="仿宋_GB2312" w:hAnsi="仿宋_GB2312" w:eastAsia="仿宋_GB2312" w:cs="仿宋_GB2312"/>
          <w:color w:val="000000"/>
          <w:w w:val="100"/>
          <w:sz w:val="32"/>
          <w:szCs w:val="32"/>
        </w:rPr>
        <w:t>。</w:t>
      </w:r>
    </w:p>
    <w:p w14:paraId="7D60C182">
      <w:pPr>
        <w:pStyle w:val="4"/>
        <w:widowControl/>
        <w:spacing w:beforeAutospacing="0" w:afterAutospacing="0" w:line="560" w:lineRule="exact"/>
        <w:ind w:firstLine="640" w:firstLineChars="200"/>
        <w:jc w:val="both"/>
        <w:rPr>
          <w:rFonts w:ascii="仿宋_GB2312" w:hAnsi="Times New Roman" w:eastAsia="仿宋_GB2312" w:cs="仿宋_GB2312"/>
          <w:color w:val="000000"/>
          <w:w w:val="100"/>
          <w:sz w:val="32"/>
          <w:szCs w:val="32"/>
        </w:rPr>
      </w:pPr>
      <w:r>
        <w:rPr>
          <w:rFonts w:hint="eastAsia" w:ascii="黑体" w:hAnsi="宋体" w:eastAsia="黑体" w:cs="黑体"/>
          <w:color w:val="000000"/>
          <w:w w:val="100"/>
          <w:sz w:val="32"/>
          <w:szCs w:val="32"/>
        </w:rPr>
        <w:t>被申请人：</w:t>
      </w:r>
      <w:r>
        <w:rPr>
          <w:rFonts w:hint="eastAsia" w:ascii="仿宋_GB2312" w:hAnsi="仿宋_GB2312" w:eastAsia="仿宋_GB2312" w:cs="仿宋_GB2312"/>
          <w:color w:val="000000"/>
          <w:w w:val="100"/>
          <w:sz w:val="32"/>
          <w:szCs w:val="32"/>
        </w:rPr>
        <w:t>济南市公安局南部山区分局柳埠派出所。</w:t>
      </w:r>
    </w:p>
    <w:p w14:paraId="189C65CA">
      <w:pPr>
        <w:pStyle w:val="4"/>
        <w:widowControl/>
        <w:spacing w:beforeAutospacing="0" w:afterAutospacing="0" w:line="560" w:lineRule="exact"/>
        <w:ind w:firstLine="640" w:firstLineChars="200"/>
        <w:jc w:val="both"/>
        <w:rPr>
          <w:rFonts w:hint="eastAsia" w:ascii="仿宋_GB2312" w:hAnsi="宋体" w:eastAsia="仿宋_GB2312" w:cs="仿宋_GB2312"/>
          <w:color w:val="000000"/>
          <w:w w:val="100"/>
          <w:sz w:val="32"/>
          <w:szCs w:val="32"/>
        </w:rPr>
      </w:pPr>
      <w:r>
        <w:rPr>
          <w:rFonts w:hint="eastAsia" w:ascii="黑体" w:hAnsi="宋体" w:eastAsia="黑体" w:cs="黑体"/>
          <w:color w:val="000000"/>
          <w:w w:val="100"/>
          <w:sz w:val="32"/>
          <w:szCs w:val="32"/>
        </w:rPr>
        <w:t>第三人：</w:t>
      </w:r>
      <w:r>
        <w:rPr>
          <w:rFonts w:hint="eastAsia" w:ascii="仿宋_GB2312" w:hAnsi="仿宋_GB2312" w:eastAsia="仿宋_GB2312" w:cs="仿宋_GB2312"/>
          <w:color w:val="000000"/>
          <w:w w:val="100"/>
          <w:sz w:val="32"/>
          <w:szCs w:val="32"/>
        </w:rPr>
        <w:t>李</w:t>
      </w:r>
      <w:r>
        <w:rPr>
          <w:rFonts w:hint="eastAsia" w:ascii="仿宋_GB2312" w:hAnsi="仿宋_GB2312" w:eastAsia="仿宋_GB2312" w:cs="仿宋_GB2312"/>
          <w:color w:val="000000"/>
          <w:w w:val="100"/>
          <w:sz w:val="32"/>
          <w:szCs w:val="32"/>
          <w:lang w:val="en-US" w:eastAsia="zh-CN"/>
        </w:rPr>
        <w:t>某某</w:t>
      </w:r>
      <w:r>
        <w:rPr>
          <w:rFonts w:hint="eastAsia" w:ascii="仿宋_GB2312" w:hAnsi="仿宋_GB2312" w:eastAsia="仿宋_GB2312" w:cs="仿宋_GB2312"/>
          <w:color w:val="000000"/>
          <w:w w:val="100"/>
          <w:sz w:val="32"/>
          <w:szCs w:val="32"/>
        </w:rPr>
        <w:t>。</w:t>
      </w:r>
    </w:p>
    <w:p w14:paraId="0CD502B1">
      <w:pPr>
        <w:pStyle w:val="4"/>
        <w:widowControl/>
        <w:spacing w:beforeAutospacing="0" w:afterAutospacing="0" w:line="560" w:lineRule="exact"/>
        <w:ind w:firstLine="640" w:firstLineChars="200"/>
        <w:jc w:val="both"/>
        <w:rPr>
          <w:rFonts w:hint="eastAsia" w:ascii="仿宋_GB2312" w:hAnsi="仿宋_GB2312" w:eastAsia="仿宋_GB2312" w:cs="仿宋_GB2312"/>
          <w:color w:val="000000"/>
          <w:w w:val="100"/>
          <w:sz w:val="32"/>
          <w:szCs w:val="32"/>
        </w:rPr>
      </w:pPr>
      <w:r>
        <w:rPr>
          <w:rFonts w:hint="eastAsia" w:ascii="仿宋_GB2312" w:hAnsi="仿宋_GB2312" w:eastAsia="仿宋_GB2312" w:cs="仿宋_GB2312"/>
          <w:color w:val="000000"/>
          <w:w w:val="100"/>
          <w:sz w:val="32"/>
          <w:szCs w:val="32"/>
        </w:rPr>
        <w:t>申请人不服被申请人于2025年3月14日作出的（柳埠）不罚决字〔2025〕10053号《不予行政处罚决定书》，向本机关提出复议申请，本机关于2025年3月26日依法受理，行政复议期间，依法听取当事人意见，本案现已审理结案。</w:t>
      </w:r>
    </w:p>
    <w:p w14:paraId="7D0F120B">
      <w:pPr>
        <w:pStyle w:val="4"/>
        <w:widowControl/>
        <w:adjustRightInd w:val="0"/>
        <w:snapToGrid w:val="0"/>
        <w:spacing w:beforeAutospacing="0" w:afterAutospacing="0" w:line="560" w:lineRule="exact"/>
        <w:ind w:firstLine="640" w:firstLineChars="200"/>
        <w:jc w:val="both"/>
        <w:rPr>
          <w:rFonts w:ascii="仿宋_GB2312" w:hAnsi="Times New Roman" w:eastAsia="仿宋_GB2312" w:cs="仿宋_GB2312"/>
          <w:color w:val="000000"/>
          <w:w w:val="100"/>
          <w:sz w:val="32"/>
          <w:szCs w:val="32"/>
        </w:rPr>
      </w:pPr>
      <w:r>
        <w:rPr>
          <w:rFonts w:hint="eastAsia" w:ascii="黑体" w:hAnsi="宋体" w:eastAsia="黑体" w:cs="黑体"/>
          <w:color w:val="000000"/>
          <w:w w:val="100"/>
          <w:sz w:val="32"/>
          <w:szCs w:val="32"/>
        </w:rPr>
        <w:t>申请人行政复议请求：</w:t>
      </w:r>
      <w:r>
        <w:rPr>
          <w:rFonts w:hint="eastAsia" w:ascii="仿宋_GB2312" w:hAnsi="仿宋_GB2312" w:eastAsia="仿宋_GB2312" w:cs="仿宋_GB2312"/>
          <w:color w:val="000000"/>
          <w:w w:val="100"/>
          <w:sz w:val="32"/>
          <w:szCs w:val="32"/>
        </w:rPr>
        <w:t>撤销被申请人作出的（柳埠）不罚决字〔2025〕10053号《不予行政处罚决定书》。</w:t>
      </w:r>
    </w:p>
    <w:p w14:paraId="32040F3E">
      <w:pPr>
        <w:snapToGrid w:val="0"/>
        <w:spacing w:line="560" w:lineRule="exact"/>
        <w:ind w:firstLine="640" w:firstLineChars="200"/>
        <w:rPr>
          <w:rFonts w:hint="eastAsia" w:ascii="仿宋_GB2312" w:hAnsi="仿宋_GB2312" w:eastAsia="仿宋_GB2312" w:cs="仿宋_GB2312"/>
          <w:color w:val="000000"/>
          <w:w w:val="100"/>
          <w:sz w:val="32"/>
          <w:szCs w:val="32"/>
        </w:rPr>
      </w:pPr>
      <w:r>
        <w:rPr>
          <w:rFonts w:hint="eastAsia" w:ascii="黑体" w:hAnsi="宋体" w:eastAsia="黑体" w:cs="黑体"/>
          <w:color w:val="000000"/>
          <w:w w:val="100"/>
          <w:sz w:val="32"/>
          <w:szCs w:val="32"/>
        </w:rPr>
        <w:t>申请人称：</w:t>
      </w:r>
      <w:r>
        <w:rPr>
          <w:rFonts w:hint="eastAsia" w:ascii="仿宋_GB2312" w:hAnsi="仿宋_GB2312" w:eastAsia="仿宋_GB2312" w:cs="仿宋_GB2312"/>
          <w:color w:val="000000"/>
          <w:w w:val="100"/>
          <w:kern w:val="0"/>
          <w:sz w:val="32"/>
          <w:szCs w:val="32"/>
          <w:lang w:val="en-US" w:eastAsia="zh-CN" w:bidi="ar-SA"/>
        </w:rPr>
        <w:t>2025年1月17日，该房主主人王某某到租房户李某某查水表、要水费，李某某没安水表，拒交水费，李某某掐住王某某的脖子，将王某某掐晕并向外推，致使王某某撞到房门，头上被撞个包块，脸部有外伤，自己有柳埠医院病历，头晕很长时间、吃药。希望公安机关严厉处罚偷水、打人违法行为人李某某。</w:t>
      </w:r>
    </w:p>
    <w:p w14:paraId="529B279D">
      <w:pPr>
        <w:pStyle w:val="4"/>
        <w:widowControl/>
        <w:spacing w:beforeAutospacing="0" w:afterAutospacing="0" w:line="560" w:lineRule="exact"/>
        <w:ind w:firstLine="640" w:firstLineChars="200"/>
        <w:jc w:val="both"/>
        <w:rPr>
          <w:w w:val="100"/>
        </w:rPr>
      </w:pPr>
      <w:r>
        <w:rPr>
          <w:rFonts w:hint="eastAsia" w:ascii="黑体" w:hAnsi="宋体" w:eastAsia="黑体" w:cs="黑体"/>
          <w:color w:val="000000"/>
          <w:w w:val="100"/>
          <w:sz w:val="32"/>
          <w:szCs w:val="32"/>
        </w:rPr>
        <w:t>申请人向本机关提交如下证据材料（复印件）：</w:t>
      </w:r>
    </w:p>
    <w:p w14:paraId="7656CBC6">
      <w:pPr>
        <w:pStyle w:val="4"/>
        <w:widowControl/>
        <w:numPr>
          <w:ilvl w:val="0"/>
          <w:numId w:val="0"/>
        </w:numPr>
        <w:adjustRightInd w:val="0"/>
        <w:snapToGrid w:val="0"/>
        <w:spacing w:beforeAutospacing="0" w:afterAutospacing="0" w:line="560" w:lineRule="exact"/>
        <w:ind w:firstLine="640" w:firstLineChars="200"/>
        <w:jc w:val="both"/>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1.（柳埠）不罚决字〔2025〕10053号《不予行政处罚决定书》；</w:t>
      </w:r>
    </w:p>
    <w:p w14:paraId="64915494">
      <w:pPr>
        <w:pStyle w:val="4"/>
        <w:widowControl/>
        <w:adjustRightInd w:val="0"/>
        <w:snapToGrid w:val="0"/>
        <w:spacing w:beforeAutospacing="0" w:afterAutospacing="0" w:line="560" w:lineRule="exact"/>
        <w:ind w:firstLine="640" w:firstLineChars="200"/>
        <w:jc w:val="both"/>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2.病历。</w:t>
      </w:r>
    </w:p>
    <w:p w14:paraId="5F8C26B0">
      <w:pPr>
        <w:pStyle w:val="4"/>
        <w:widowControl/>
        <w:spacing w:beforeAutospacing="0" w:afterAutospacing="0" w:line="560" w:lineRule="exact"/>
        <w:ind w:firstLine="640" w:firstLineChars="200"/>
        <w:jc w:val="both"/>
        <w:rPr>
          <w:rFonts w:hint="eastAsia" w:ascii="黑体" w:hAnsi="宋体" w:eastAsia="黑体" w:cs="黑体"/>
          <w:color w:val="000000"/>
          <w:w w:val="100"/>
          <w:sz w:val="32"/>
          <w:szCs w:val="32"/>
        </w:rPr>
      </w:pPr>
      <w:r>
        <w:rPr>
          <w:rFonts w:hint="eastAsia" w:ascii="黑体" w:hAnsi="宋体" w:eastAsia="黑体" w:cs="黑体"/>
          <w:color w:val="000000"/>
          <w:w w:val="100"/>
          <w:sz w:val="32"/>
          <w:szCs w:val="32"/>
        </w:rPr>
        <w:t>申请人阅卷后向本机关提交如下证据材料（复印件）：</w:t>
      </w:r>
    </w:p>
    <w:p w14:paraId="11CD5D84">
      <w:pPr>
        <w:pStyle w:val="4"/>
        <w:widowControl/>
        <w:numPr>
          <w:ilvl w:val="0"/>
          <w:numId w:val="0"/>
        </w:numPr>
        <w:adjustRightInd w:val="0"/>
        <w:snapToGrid w:val="0"/>
        <w:spacing w:beforeAutospacing="0" w:afterAutospacing="0" w:line="560" w:lineRule="exact"/>
        <w:ind w:firstLine="640" w:firstLineChars="200"/>
        <w:jc w:val="both"/>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1.村委会证明。</w:t>
      </w:r>
    </w:p>
    <w:p w14:paraId="106B2184">
      <w:pPr>
        <w:snapToGrid w:val="0"/>
        <w:spacing w:line="560" w:lineRule="exact"/>
        <w:ind w:firstLine="640" w:firstLineChars="200"/>
        <w:rPr>
          <w:rFonts w:hint="eastAsia" w:ascii="仿宋_GB2312" w:hAnsi="仿宋_GB2312" w:eastAsia="仿宋_GB2312" w:cs="仿宋_GB2312"/>
          <w:color w:val="000000"/>
          <w:w w:val="100"/>
          <w:sz w:val="32"/>
          <w:szCs w:val="32"/>
        </w:rPr>
      </w:pPr>
      <w:r>
        <w:rPr>
          <w:rFonts w:hint="eastAsia" w:ascii="黑体" w:hAnsi="宋体" w:eastAsia="黑体" w:cs="黑体"/>
          <w:color w:val="000000"/>
          <w:w w:val="100"/>
          <w:sz w:val="32"/>
          <w:szCs w:val="32"/>
        </w:rPr>
        <w:t>被申请人答复称：</w:t>
      </w:r>
      <w:r>
        <w:rPr>
          <w:rFonts w:hint="eastAsia" w:ascii="仿宋_GB2312" w:hAnsi="仿宋_GB2312" w:eastAsia="仿宋_GB2312" w:cs="仿宋_GB2312"/>
          <w:color w:val="000000"/>
          <w:w w:val="100"/>
          <w:kern w:val="0"/>
          <w:sz w:val="32"/>
          <w:szCs w:val="32"/>
          <w:lang w:val="en-US" w:eastAsia="zh-CN" w:bidi="ar-SA"/>
        </w:rPr>
        <w:t>2025年1月17日10时许，柳埠派出所接110警情称：2025年1月17日10时左右，在济南市南部山区柳埠街道**村李某某所租赁的房屋内，该房屋主人王某某找李某某要水费，双方因此事发生口角并推搡，李某某认为王某某不经过自己允许到自己房屋影响自己生活报警。民警到达现场后王某某向民警反映自己在向李某某要水费时李某某在房屋内掐着自己脖子并推搡自己导致自己头部受伤。接警后柳埠派出所将警情受理为“**村打架案”进行调查。</w:t>
      </w:r>
    </w:p>
    <w:p w14:paraId="7A3C4638">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经调查查明：2024年1月17日10时14分，在济南市历城区柳埠街道**村李某某所租赁的房屋内，王某某因缴纳水费问题与李某某发生争执，在李某某要求王某某离开未果，向门外推王某某让其离开的过程中，王某某撞到门上。对于李某某所租赁的房屋经调查，王某某为**村李某某所租赁房屋产权所有者，2006年12月24日王某某与奚某某签订租赁合同，王某某将该房屋以肆拾肆万叁仟元整租赁给奚某某，租期45年；2010年4月20日奚某某与郑某某签订租赁转让合同，奚某某以捌拾捌万元将该房屋租赁给郑某某，租期40年；2016年4月25日，郑某某无偿将该房屋转让给其前夫郭某某；2022年9月10日，郭某某与田某某签订《柳埠街道**村房屋院落出租合同》,租赁期10年，李某某系田某某合伙人，现该房屋为李某某使用，李某某具有房屋使用权。</w:t>
      </w:r>
    </w:p>
    <w:p w14:paraId="2FBC9762">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关于王某某反映的李某某偷水问题：根据李某某的陈述和申辩；王某某的陈述、郭某某的证人证言；王某某提供的土地租赁合同、租赁合同、房院租赁及院内扩建施工费结算证明、租赁合同补充条例、补充合同；李某某提供的房屋租赁合同；郭某某提供的租赁合同等相关证据证实。李某某具有位于**村王某某所有的房屋的使用权，同时具有该房屋水电使用权。对于王某某所说李某某未安装水表问题，根据李某某陈述和辩解、郭某某证人证言，郭某某曾要求王某某安装水表，但王某某未安装。李某某未安装水表、王某某向李某某索要水费，李某某拒绝支付，以此认定李某某盗窃偷水不属实。</w:t>
      </w:r>
    </w:p>
    <w:p w14:paraId="20BE66ED">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关于王某某复议要求撤销对李某某不予行政处罚问题：根据现场照片；王某某的陈述、李某某的陈述和申辩；郭某某的证人证言；王某某提供的土地租赁合同、租赁合同、房院租赁及院内扩建施工费结算证明、租赁合同补充条例、补充合同；李某某提供的房屋租赁合同；郭某某提供的租赁合同等相关证据证实。2025年1月17日10时许，李某某在尧庄村租住房屋内，该房屋所有人王某某向李某某收水费，李某某认为王某某不经过自己允许到自己房屋影响自己生活，让王某某离开遭到拒绝，李某某在向外推王某某的过程中导致王某某头部碰到房门，无明显外伤。李某某推搡王某某认定为殴打他人，但王某某进入李某某住宅后经劝阻拒不离开，属于不当行为在先，双方发生肢体冲突，李某某的侵害行为系由王某某事前不当行为引起且后果较轻；根据《中华人民共和国治安管理处罚法》第四十三条第一款、第十九条第(一)项之规定，对李某某下达了不予行政处罚决定并无不当。</w:t>
      </w:r>
    </w:p>
    <w:p w14:paraId="2FF20EC5">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认定以上事实的证据主要有：王某某的陈述；李某某的陈述和申辩；郭某某的证人证言；王某某提供的土地租赁合同、租赁合同、房院租赁及院内扩建施工费结算证明、租赁合同补充条例、补充合同；李某某提供的房屋租赁合同；郭某某提供的租赁合同等相关证据。</w:t>
      </w:r>
    </w:p>
    <w:p w14:paraId="64F5CD51">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综上所述，我单位根据依法查明的案件事实，所作的处罚决定主体适格、事实清楚、证据确凿、程序合法、适用法律正确，内容适当，根据《中华人民共和国行政复议法》第二十八条第一款第一项之规定，请求济南市南部山区管理委员会行政复议办公室依法维持该决定。</w:t>
      </w:r>
    </w:p>
    <w:p w14:paraId="66A2633E">
      <w:pPr>
        <w:spacing w:line="560" w:lineRule="exact"/>
        <w:ind w:firstLine="640" w:firstLineChars="200"/>
        <w:rPr>
          <w:w w:val="100"/>
        </w:rPr>
      </w:pPr>
      <w:r>
        <w:rPr>
          <w:rFonts w:hint="eastAsia" w:ascii="黑体" w:hAnsi="宋体" w:eastAsia="黑体" w:cs="黑体"/>
          <w:color w:val="000000"/>
          <w:w w:val="100"/>
          <w:sz w:val="32"/>
          <w:szCs w:val="32"/>
        </w:rPr>
        <w:t>被申请人向本机关提交如下证据材料（复印件）：</w:t>
      </w:r>
    </w:p>
    <w:p w14:paraId="4C16E0FE">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1.立案登记表；</w:t>
      </w:r>
    </w:p>
    <w:p w14:paraId="2EFE743D">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2.立案告知书；</w:t>
      </w:r>
    </w:p>
    <w:p w14:paraId="6E12B3E3">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3.户籍证明及前科证明材料；</w:t>
      </w:r>
    </w:p>
    <w:p w14:paraId="29A107AE">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4.归案经过；</w:t>
      </w:r>
    </w:p>
    <w:p w14:paraId="50F5C25E">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5.传唤人家属通知书；</w:t>
      </w:r>
    </w:p>
    <w:p w14:paraId="7C244612">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6.伤情照片；</w:t>
      </w:r>
    </w:p>
    <w:p w14:paraId="5B941EAA">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7.延长办案期限审批表；</w:t>
      </w:r>
    </w:p>
    <w:p w14:paraId="6F037731">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8.行政处罚告知笔录；</w:t>
      </w:r>
    </w:p>
    <w:p w14:paraId="081EC878">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9.呈请不予行政处罚审批表；</w:t>
      </w:r>
    </w:p>
    <w:p w14:paraId="6C2A3353">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10.不予行政处罚决定书；</w:t>
      </w:r>
    </w:p>
    <w:p w14:paraId="4FCBB6B1">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11.送达回执；</w:t>
      </w:r>
    </w:p>
    <w:p w14:paraId="1A2E78FA">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12.接受证据材料；</w:t>
      </w:r>
    </w:p>
    <w:p w14:paraId="5FDC6825">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13.王某某笔录材料；</w:t>
      </w:r>
    </w:p>
    <w:p w14:paraId="223B70CA">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14.李某某笔录材料；</w:t>
      </w:r>
    </w:p>
    <w:p w14:paraId="771BAF5E">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15.郭某某笔录材料。</w:t>
      </w:r>
    </w:p>
    <w:p w14:paraId="31C39F9A">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黑体" w:hAnsi="宋体" w:eastAsia="黑体" w:cs="黑体"/>
          <w:color w:val="000000"/>
          <w:w w:val="100"/>
          <w:sz w:val="32"/>
          <w:szCs w:val="32"/>
        </w:rPr>
        <w:t>本机关经审查查明</w:t>
      </w:r>
      <w:r>
        <w:rPr>
          <w:rFonts w:ascii="Times New Roman" w:hAnsi="Times New Roman" w:cs="Times New Roman"/>
          <w:color w:val="000000"/>
          <w:w w:val="100"/>
          <w:sz w:val="32"/>
          <w:szCs w:val="32"/>
        </w:rPr>
        <w:t>：</w:t>
      </w:r>
      <w:r>
        <w:rPr>
          <w:rFonts w:hint="eastAsia" w:ascii="仿宋_GB2312" w:hAnsi="仿宋_GB2312" w:eastAsia="仿宋_GB2312" w:cs="仿宋_GB2312"/>
          <w:color w:val="000000"/>
          <w:w w:val="100"/>
          <w:kern w:val="0"/>
          <w:sz w:val="32"/>
          <w:szCs w:val="32"/>
          <w:lang w:val="en-US" w:eastAsia="zh-CN" w:bidi="ar-SA"/>
        </w:rPr>
        <w:t>2025年1月17日10时许，申请人以收取水费为由进入郭某某出租给第三人租住的房屋，申请人与第三人因水费缴纳问题发生争执，第三人要求申请人离开未果后，遂采取推搡方式将申请人推出门外，第三人推的过程中导致申请人头部碰撞到房门，后第三人报警。被申请人于2025年1月17日立案，期间进行调查、延长办案期限，3月14日，被申请人根据《中华人民共和国治安管理处罚法》第四十三条第一款、第十九条第（一）项之规定，对第三人作出（柳埠）不罚决字〔2025〕10053号《不予行政处罚决定书》。</w:t>
      </w:r>
    </w:p>
    <w:p w14:paraId="57D6D140">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另查明，经柳埠卫生院门诊诊断，申请人头外伤，颈部软组织损伤。申请人拥有案涉房屋所有权，申请人于2006年将案涉房屋出租给奚某某，后案涉房屋经多次转租，现由第三人合法使用。</w:t>
      </w:r>
    </w:p>
    <w:p w14:paraId="2FC782ED">
      <w:pPr>
        <w:snapToGrid w:val="0"/>
        <w:spacing w:line="560" w:lineRule="exact"/>
        <w:ind w:firstLine="640" w:firstLineChars="200"/>
        <w:rPr>
          <w:rFonts w:ascii="仿宋_GB2312" w:hAnsi="Times New Roman" w:eastAsia="仿宋_GB2312" w:cs="仿宋_GB2312"/>
          <w:color w:val="000000"/>
          <w:w w:val="100"/>
          <w:sz w:val="32"/>
          <w:szCs w:val="32"/>
        </w:rPr>
      </w:pPr>
      <w:r>
        <w:rPr>
          <w:rFonts w:hint="eastAsia" w:ascii="仿宋_GB2312" w:hAnsi="仿宋_GB2312" w:eastAsia="仿宋_GB2312" w:cs="仿宋_GB2312"/>
          <w:color w:val="000000"/>
          <w:w w:val="100"/>
          <w:kern w:val="0"/>
          <w:sz w:val="32"/>
          <w:szCs w:val="32"/>
          <w:lang w:val="en-US" w:eastAsia="zh-CN" w:bidi="ar-SA"/>
        </w:rPr>
        <w:t>以上事实由申请人、被申请人提交的证据材料予以证实。</w:t>
      </w:r>
    </w:p>
    <w:p w14:paraId="524A028C">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黑体" w:hAnsi="宋体" w:eastAsia="黑体" w:cs="黑体"/>
          <w:color w:val="000000"/>
          <w:w w:val="100"/>
          <w:sz w:val="32"/>
          <w:szCs w:val="32"/>
        </w:rPr>
        <w:t>本机关认为：</w:t>
      </w:r>
      <w:r>
        <w:rPr>
          <w:rFonts w:hint="eastAsia" w:ascii="仿宋_GB2312" w:hAnsi="仿宋_GB2312" w:eastAsia="仿宋_GB2312" w:cs="仿宋_GB2312"/>
          <w:color w:val="000000"/>
          <w:w w:val="100"/>
          <w:kern w:val="0"/>
          <w:sz w:val="32"/>
          <w:szCs w:val="32"/>
          <w:lang w:val="en-US" w:eastAsia="zh-CN" w:bidi="ar-SA"/>
        </w:rPr>
        <w:t>根据《中华人民共和国治安管理处罚法》第七条：“国务院公安部门负责全国的治安管理工作。县级以上地方各级人民政府公安机关负责本行政区域内的治安管理工作。”和第九十一条：“治安管理处罚由县级以上人民政府公安机关决定；其中警告、五百元以下的罚款可以由公安派出所决定。”之规定，被申请人具有对违反治安管理的行为作出处理的法定职权。</w:t>
      </w:r>
    </w:p>
    <w:p w14:paraId="52C012C7">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申请人与第三人因水费缴纳问题发生争执，第三人推申请人致使申请人头部碰撞到房门的行为系殴打他人行为，但第三人违法行为发生在第三人要求申请人离开其住所遭拒后，申请人属于不当在先，第三人非主动挑衅，主观恶性轻微。被申请人根据《中华人民共和国治安管理处罚法》第四十三条第一款：“殴打他人的，或者故意伤害他人身体的，处五日</w:t>
      </w:r>
      <w:bookmarkStart w:id="0" w:name="_GoBack"/>
      <w:bookmarkEnd w:id="0"/>
      <w:r>
        <w:rPr>
          <w:rFonts w:hint="eastAsia" w:ascii="仿宋_GB2312" w:hAnsi="仿宋_GB2312" w:eastAsia="仿宋_GB2312" w:cs="仿宋_GB2312"/>
          <w:color w:val="000000"/>
          <w:w w:val="100"/>
          <w:kern w:val="0"/>
          <w:sz w:val="32"/>
          <w:szCs w:val="32"/>
          <w:lang w:val="en-US" w:eastAsia="zh-CN" w:bidi="ar-SA"/>
        </w:rPr>
        <w:t>以上十日以下拘留，并处二百元以上五百元以下罚款；情节较轻的，处五日以下拘留或者五百元以下罚款。”和第十九条第（一）项：“违反治安管理有下列情形之一的，减轻处罚或者不予处罚：（一）情节特别轻微的；”之规定，结合第三人违法行为程度、申请人伤情等因素，对第三人作出（柳埠）不罚决字〔2025〕10053号《不予行政处罚决定书》，事实清楚，证据确凿，适用依据正确，内容适当。</w:t>
      </w:r>
    </w:p>
    <w:p w14:paraId="3845BE8A">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中华人民共和国治安管理处罚法》第九十九条：“公安机关办理治安案件的期限，自受理之日起不得超过三十日；案情重大、复杂的，经上一级公安机关批准，可以延长三十日。为了查明案情进行鉴定的期间，不计入办理治安案件的期限。”本案中，申请人于2025年1月17日立案，于2月14日延长办案期限30日，于3月14日作出不予处罚决定，符合上述规定。根据《中华人民共和国治安管理处罚法》第七十七条、第七十八条、第八十三条、第九十四条、第九十七条和《公安机关办理行政案件程序规定》第三十六条、第八十一条等规定，被申请人依法履行了受案、调查、询问、延期、处罚前告知、决定、送达等程序，程序合法。</w:t>
      </w:r>
    </w:p>
    <w:p w14:paraId="00D9F50D">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综上所述，根据《中华人民共和国行政复议法》第六十八条之规定，本机关决定如下：</w:t>
      </w:r>
    </w:p>
    <w:p w14:paraId="7FC0BE4B">
      <w:pPr>
        <w:pStyle w:val="4"/>
        <w:widowControl/>
        <w:spacing w:beforeAutospacing="0" w:afterAutospacing="0" w:line="560" w:lineRule="exact"/>
        <w:ind w:firstLine="643" w:firstLineChars="200"/>
        <w:jc w:val="both"/>
        <w:rPr>
          <w:b/>
          <w:bCs/>
          <w:w w:val="100"/>
        </w:rPr>
      </w:pPr>
      <w:r>
        <w:rPr>
          <w:rFonts w:ascii="仿宋_GB2312" w:eastAsia="仿宋_GB2312" w:cs="仿宋_GB2312"/>
          <w:b/>
          <w:bCs/>
          <w:color w:val="000000"/>
          <w:w w:val="100"/>
          <w:sz w:val="32"/>
          <w:szCs w:val="32"/>
        </w:rPr>
        <w:t>维持被申请人作出的</w:t>
      </w:r>
      <w:r>
        <w:rPr>
          <w:rFonts w:hint="eastAsia" w:ascii="仿宋_GB2312" w:hAnsi="Times New Roman" w:eastAsia="仿宋_GB2312" w:cs="仿宋_GB2312"/>
          <w:b/>
          <w:bCs/>
          <w:color w:val="000000"/>
          <w:w w:val="100"/>
          <w:sz w:val="32"/>
          <w:szCs w:val="32"/>
        </w:rPr>
        <w:t>（</w:t>
      </w:r>
      <w:r>
        <w:rPr>
          <w:rFonts w:hint="eastAsia" w:ascii="仿宋_GB2312" w:eastAsia="仿宋_GB2312" w:cs="仿宋_GB2312"/>
          <w:b/>
          <w:bCs/>
          <w:color w:val="000000"/>
          <w:w w:val="100"/>
          <w:sz w:val="32"/>
          <w:szCs w:val="32"/>
        </w:rPr>
        <w:t>柳埠）不罚决字〔2025〕10053号《不予行政处罚决定书》</w:t>
      </w:r>
      <w:r>
        <w:rPr>
          <w:rFonts w:ascii="仿宋_GB2312" w:eastAsia="仿宋_GB2312" w:cs="仿宋_GB2312"/>
          <w:b/>
          <w:bCs/>
          <w:color w:val="000000"/>
          <w:w w:val="100"/>
          <w:sz w:val="32"/>
          <w:szCs w:val="32"/>
        </w:rPr>
        <w:t>。</w:t>
      </w:r>
    </w:p>
    <w:p w14:paraId="50B6C334">
      <w:pPr>
        <w:snapToGrid w:val="0"/>
        <w:spacing w:line="560" w:lineRule="exact"/>
        <w:ind w:firstLine="640" w:firstLineChars="200"/>
        <w:rPr>
          <w:rFonts w:hint="eastAsia" w:ascii="仿宋_GB2312" w:hAnsi="仿宋_GB2312" w:eastAsia="仿宋_GB2312" w:cs="仿宋_GB2312"/>
          <w:color w:val="000000"/>
          <w:w w:val="100"/>
          <w:kern w:val="0"/>
          <w:sz w:val="32"/>
          <w:szCs w:val="32"/>
          <w:lang w:val="en-US" w:eastAsia="zh-CN" w:bidi="ar-SA"/>
        </w:rPr>
      </w:pPr>
      <w:r>
        <w:rPr>
          <w:rFonts w:hint="eastAsia" w:ascii="仿宋_GB2312" w:hAnsi="仿宋_GB2312" w:eastAsia="仿宋_GB2312" w:cs="仿宋_GB2312"/>
          <w:color w:val="000000"/>
          <w:w w:val="100"/>
          <w:kern w:val="0"/>
          <w:sz w:val="32"/>
          <w:szCs w:val="32"/>
          <w:lang w:val="en-US" w:eastAsia="zh-CN" w:bidi="ar-SA"/>
        </w:rPr>
        <w:t>申请人如不服本决定，可以自收到本决定书之日起15日内，依法向人民法院提起行政诉讼。</w:t>
      </w:r>
    </w:p>
    <w:p w14:paraId="5A67C294">
      <w:pPr>
        <w:pStyle w:val="4"/>
        <w:widowControl/>
        <w:spacing w:beforeAutospacing="0" w:afterAutospacing="0" w:line="560" w:lineRule="exact"/>
        <w:ind w:firstLine="640" w:firstLineChars="200"/>
        <w:jc w:val="both"/>
        <w:rPr>
          <w:rFonts w:ascii="仿宋_GB2312" w:hAnsi="Times New Roman" w:eastAsia="仿宋_GB2312" w:cs="仿宋_GB2312"/>
          <w:color w:val="000000"/>
          <w:w w:val="100"/>
          <w:sz w:val="32"/>
          <w:szCs w:val="32"/>
        </w:rPr>
      </w:pPr>
    </w:p>
    <w:p w14:paraId="683ABA59">
      <w:pPr>
        <w:pStyle w:val="4"/>
        <w:widowControl/>
        <w:spacing w:beforeAutospacing="0" w:afterAutospacing="0" w:line="560" w:lineRule="exact"/>
        <w:ind w:firstLine="4640" w:firstLineChars="1450"/>
        <w:jc w:val="both"/>
        <w:rPr>
          <w:rFonts w:ascii="仿宋_GB2312" w:hAnsi="Times New Roman" w:eastAsia="仿宋_GB2312" w:cs="仿宋_GB2312"/>
          <w:color w:val="000000"/>
          <w:w w:val="100"/>
          <w:sz w:val="32"/>
          <w:szCs w:val="32"/>
        </w:rPr>
      </w:pPr>
      <w:r>
        <w:rPr>
          <w:rFonts w:ascii="仿宋_GB2312" w:hAnsi="Times New Roman" w:eastAsia="仿宋_GB2312" w:cs="仿宋_GB2312"/>
          <w:color w:val="000000"/>
          <w:w w:val="100"/>
          <w:sz w:val="32"/>
          <w:szCs w:val="32"/>
        </w:rPr>
        <w:t>济南市南部山区管理委员会</w:t>
      </w:r>
    </w:p>
    <w:p w14:paraId="5869331B">
      <w:pPr>
        <w:pStyle w:val="4"/>
        <w:widowControl/>
        <w:spacing w:beforeAutospacing="0" w:afterAutospacing="0" w:line="560" w:lineRule="exact"/>
        <w:ind w:firstLine="5440" w:firstLineChars="1700"/>
        <w:jc w:val="both"/>
        <w:rPr>
          <w:w w:val="100"/>
        </w:rPr>
      </w:pPr>
      <w:r>
        <w:rPr>
          <w:rFonts w:ascii="仿宋_GB2312" w:hAnsi="Times New Roman" w:eastAsia="仿宋_GB2312" w:cs="仿宋_GB2312"/>
          <w:color w:val="000000"/>
          <w:w w:val="100"/>
          <w:sz w:val="32"/>
          <w:szCs w:val="32"/>
        </w:rPr>
        <w:t>202</w:t>
      </w:r>
      <w:r>
        <w:rPr>
          <w:rFonts w:hint="eastAsia" w:ascii="仿宋_GB2312" w:hAnsi="Times New Roman" w:eastAsia="仿宋_GB2312" w:cs="仿宋_GB2312"/>
          <w:color w:val="000000"/>
          <w:w w:val="100"/>
          <w:sz w:val="32"/>
          <w:szCs w:val="32"/>
        </w:rPr>
        <w:t>5</w:t>
      </w:r>
      <w:r>
        <w:rPr>
          <w:rFonts w:ascii="仿宋_GB2312" w:hAnsi="Times New Roman" w:eastAsia="仿宋_GB2312" w:cs="仿宋_GB2312"/>
          <w:color w:val="000000"/>
          <w:w w:val="100"/>
          <w:sz w:val="32"/>
          <w:szCs w:val="32"/>
        </w:rPr>
        <w:t>年</w:t>
      </w:r>
      <w:r>
        <w:rPr>
          <w:rFonts w:hint="eastAsia" w:ascii="仿宋_GB2312" w:hAnsi="Times New Roman" w:eastAsia="仿宋_GB2312" w:cs="仿宋_GB2312"/>
          <w:color w:val="000000"/>
          <w:w w:val="100"/>
          <w:sz w:val="32"/>
          <w:szCs w:val="32"/>
        </w:rPr>
        <w:t>5</w:t>
      </w:r>
      <w:r>
        <w:rPr>
          <w:rFonts w:ascii="仿宋_GB2312" w:hAnsi="Times New Roman" w:eastAsia="仿宋_GB2312" w:cs="仿宋_GB2312"/>
          <w:color w:val="000000"/>
          <w:w w:val="100"/>
          <w:sz w:val="32"/>
          <w:szCs w:val="32"/>
        </w:rPr>
        <w:t>月</w:t>
      </w:r>
      <w:r>
        <w:rPr>
          <w:rFonts w:hint="eastAsia" w:ascii="仿宋_GB2312" w:hAnsi="Times New Roman" w:eastAsia="仿宋_GB2312" w:cs="仿宋_GB2312"/>
          <w:color w:val="auto"/>
          <w:w w:val="100"/>
          <w:sz w:val="32"/>
          <w:szCs w:val="32"/>
          <w:highlight w:val="none"/>
          <w:lang w:val="en-US" w:eastAsia="zh-CN"/>
        </w:rPr>
        <w:t>23</w:t>
      </w:r>
      <w:r>
        <w:rPr>
          <w:rFonts w:ascii="仿宋_GB2312" w:hAnsi="Times New Roman" w:eastAsia="仿宋_GB2312" w:cs="仿宋_GB2312"/>
          <w:color w:val="000000"/>
          <w:w w:val="100"/>
          <w:sz w:val="32"/>
          <w:szCs w:val="32"/>
        </w:rPr>
        <w:t>日</w:t>
      </w:r>
    </w:p>
    <w:sectPr>
      <w:footerReference r:id="rId3" w:type="default"/>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75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49A9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A49A9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RiY2FkMWJkM2RlNDlkNWMxMjVlNTAzOWE5ZDcifQ=="/>
  </w:docVars>
  <w:rsids>
    <w:rsidRoot w:val="00FE56FE"/>
    <w:rsid w:val="00034723"/>
    <w:rsid w:val="0009071B"/>
    <w:rsid w:val="0014339B"/>
    <w:rsid w:val="00362684"/>
    <w:rsid w:val="003B54BA"/>
    <w:rsid w:val="003F6D26"/>
    <w:rsid w:val="00987F63"/>
    <w:rsid w:val="00AB5AA2"/>
    <w:rsid w:val="00C333A0"/>
    <w:rsid w:val="00F9462F"/>
    <w:rsid w:val="00FE56FE"/>
    <w:rsid w:val="013656F7"/>
    <w:rsid w:val="02B812FB"/>
    <w:rsid w:val="062034C1"/>
    <w:rsid w:val="06B77D90"/>
    <w:rsid w:val="075377EF"/>
    <w:rsid w:val="0DB31D06"/>
    <w:rsid w:val="0F210D3F"/>
    <w:rsid w:val="104E66AF"/>
    <w:rsid w:val="15D8055B"/>
    <w:rsid w:val="1BAA0BEC"/>
    <w:rsid w:val="1BAA3702"/>
    <w:rsid w:val="219D1231"/>
    <w:rsid w:val="24BE6118"/>
    <w:rsid w:val="2B073965"/>
    <w:rsid w:val="2FAA12AE"/>
    <w:rsid w:val="38656786"/>
    <w:rsid w:val="3B079922"/>
    <w:rsid w:val="3B783AC3"/>
    <w:rsid w:val="3F77C0C5"/>
    <w:rsid w:val="456450B8"/>
    <w:rsid w:val="490177EE"/>
    <w:rsid w:val="49184B37"/>
    <w:rsid w:val="49BD7AB1"/>
    <w:rsid w:val="4A184FAC"/>
    <w:rsid w:val="4E0D4DDE"/>
    <w:rsid w:val="4FF43C08"/>
    <w:rsid w:val="51F223CA"/>
    <w:rsid w:val="544E2B08"/>
    <w:rsid w:val="577B4C0F"/>
    <w:rsid w:val="5BA2745D"/>
    <w:rsid w:val="5BB24039"/>
    <w:rsid w:val="5EEE5F2C"/>
    <w:rsid w:val="5EEFD7F4"/>
    <w:rsid w:val="627502C3"/>
    <w:rsid w:val="65EC3F7E"/>
    <w:rsid w:val="665E1984"/>
    <w:rsid w:val="69EF3C02"/>
    <w:rsid w:val="6FDB8023"/>
    <w:rsid w:val="6FFD28FA"/>
    <w:rsid w:val="71F79B25"/>
    <w:rsid w:val="760337F1"/>
    <w:rsid w:val="77EF66BD"/>
    <w:rsid w:val="7DE9F740"/>
    <w:rsid w:val="7E7E26EF"/>
    <w:rsid w:val="7EFBF92C"/>
    <w:rsid w:val="7FEEEEC5"/>
    <w:rsid w:val="8DBF2729"/>
    <w:rsid w:val="BEDEEFDB"/>
    <w:rsid w:val="CFA7CDAD"/>
    <w:rsid w:val="CFBFB332"/>
    <w:rsid w:val="EE8FF340"/>
    <w:rsid w:val="EFEB5A35"/>
    <w:rsid w:val="EFF790DD"/>
    <w:rsid w:val="F8AE9146"/>
    <w:rsid w:val="F9FB115D"/>
    <w:rsid w:val="FA7F532B"/>
    <w:rsid w:val="FAFB438B"/>
    <w:rsid w:val="FCDF2517"/>
    <w:rsid w:val="FD0A419F"/>
    <w:rsid w:val="FEFB5417"/>
    <w:rsid w:val="FF9FF4DA"/>
    <w:rsid w:val="FFCFC607"/>
    <w:rsid w:val="FFDF4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3284</Words>
  <Characters>3440</Characters>
  <Lines>84</Lines>
  <Paragraphs>53</Paragraphs>
  <TotalTime>8</TotalTime>
  <ScaleCrop>false</ScaleCrop>
  <LinksUpToDate>false</LinksUpToDate>
  <CharactersWithSpaces>3440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2024-11-21T15:03:00Z</dcterms:created>
  <dc:creator>HP</dc:creator>
  <cp:lastModifiedBy>Bei贝</cp:lastModifiedBy>
  <dcterms:modified xsi:type="dcterms:W3CDTF">2026-01-09T03:25:38Z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C0E9ECF2567C458785912240267CFE7D_13</vt:lpwstr>
  </property>
  <property fmtid="{D5CDD505-2E9C-101B-9397-08002B2CF9AE}" pid="4" name="KSOTemplateDocerSaveRecord">
    <vt:lpwstr>eyJoZGlkIjoiZTBiYzAyNTViNWQ2NzBiOWU4ZTQ2MmRhNTU3ODg2NjQiLCJ1c2VySWQiOiI0MjQ4ODQ0ODkifQ==</vt:lpwstr>
  </property>
</Properties>
</file>