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0BF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heme="majorEastAsia" w:hAnsiTheme="majorEastAsia" w:eastAsiaTheme="majorEastAsia" w:cstheme="majorEastAsia"/>
          <w:b w:val="0"/>
          <w:bCs w:val="0"/>
          <w:color w:val="000000"/>
          <w:w w:val="100"/>
          <w:sz w:val="44"/>
          <w:szCs w:val="44"/>
          <w:lang w:val="en-US" w:eastAsia="zh-CN"/>
        </w:rPr>
      </w:pPr>
      <w:r>
        <w:rPr>
          <w:rFonts w:hint="eastAsia" w:asciiTheme="majorEastAsia" w:hAnsiTheme="majorEastAsia" w:eastAsiaTheme="majorEastAsia" w:cstheme="majorEastAsia"/>
          <w:b w:val="0"/>
          <w:bCs w:val="0"/>
          <w:color w:val="000000"/>
          <w:w w:val="100"/>
          <w:sz w:val="44"/>
          <w:szCs w:val="44"/>
          <w:lang w:val="en-US" w:eastAsia="zh-CN"/>
        </w:rPr>
        <w:t>济南市南部山区管理委员会</w:t>
      </w:r>
    </w:p>
    <w:p w14:paraId="4C2E8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2730"/>
        </w:tabs>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heme="majorEastAsia" w:hAnsiTheme="majorEastAsia" w:eastAsiaTheme="majorEastAsia" w:cstheme="majorEastAsia"/>
          <w:b w:val="0"/>
          <w:bCs w:val="0"/>
          <w:color w:val="000000"/>
          <w:w w:val="100"/>
          <w:sz w:val="44"/>
          <w:szCs w:val="44"/>
          <w:lang w:val="en-US" w:eastAsia="zh-CN"/>
        </w:rPr>
      </w:pPr>
      <w:r>
        <w:rPr>
          <w:rFonts w:hint="eastAsia" w:asciiTheme="majorEastAsia" w:hAnsiTheme="majorEastAsia" w:eastAsiaTheme="majorEastAsia" w:cstheme="majorEastAsia"/>
          <w:b w:val="0"/>
          <w:bCs w:val="0"/>
          <w:color w:val="000000"/>
          <w:w w:val="100"/>
          <w:sz w:val="44"/>
          <w:szCs w:val="44"/>
          <w:lang w:val="en-US" w:eastAsia="zh-CN"/>
        </w:rPr>
        <w:t>行政复议决定书</w:t>
      </w:r>
    </w:p>
    <w:p w14:paraId="3FBB97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right"/>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济南山复决字〔2025〕27号</w:t>
      </w:r>
    </w:p>
    <w:p w14:paraId="0185B0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ascii="黑体" w:hAnsi="宋体" w:eastAsia="黑体" w:cs="黑体"/>
          <w:color w:val="000000"/>
          <w:w w:val="100"/>
          <w:sz w:val="32"/>
          <w:szCs w:val="32"/>
        </w:rPr>
      </w:pPr>
    </w:p>
    <w:p w14:paraId="4E514D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color w:val="000000"/>
          <w:w w:val="100"/>
          <w:sz w:val="32"/>
          <w:szCs w:val="32"/>
          <w:lang w:val="en-US" w:eastAsia="zh-CN"/>
        </w:rPr>
      </w:pPr>
      <w:r>
        <w:rPr>
          <w:rFonts w:ascii="黑体" w:hAnsi="宋体" w:eastAsia="黑体" w:cs="黑体"/>
          <w:b/>
          <w:bCs/>
          <w:color w:val="000000"/>
          <w:w w:val="100"/>
          <w:sz w:val="32"/>
          <w:szCs w:val="32"/>
        </w:rPr>
        <w:t>申请人</w:t>
      </w:r>
      <w:r>
        <w:rPr>
          <w:rFonts w:hint="eastAsia" w:ascii="黑体" w:hAnsi="宋体" w:eastAsia="黑体" w:cs="黑体"/>
          <w:b/>
          <w:bCs/>
          <w:color w:val="000000"/>
          <w:w w:val="100"/>
          <w:sz w:val="32"/>
          <w:szCs w:val="32"/>
          <w:lang w:eastAsia="zh-CN"/>
        </w:rPr>
        <w:t>：</w:t>
      </w:r>
      <w:r>
        <w:rPr>
          <w:rFonts w:hint="eastAsia" w:ascii="仿宋_GB2312" w:hAnsi="仿宋_GB2312" w:eastAsia="仿宋_GB2312" w:cs="仿宋_GB2312"/>
          <w:color w:val="000000"/>
          <w:w w:val="100"/>
          <w:sz w:val="32"/>
          <w:szCs w:val="32"/>
          <w:lang w:val="en-US" w:eastAsia="zh-CN"/>
        </w:rPr>
        <w:t>段某某。</w:t>
      </w:r>
    </w:p>
    <w:p w14:paraId="5C89E9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firstLine="643" w:firstLineChars="200"/>
        <w:jc w:val="both"/>
        <w:textAlignment w:val="auto"/>
        <w:rPr>
          <w:rFonts w:hint="eastAsia" w:ascii="仿宋" w:hAnsi="仿宋" w:eastAsia="仿宋" w:cs="仿宋"/>
          <w:color w:val="000000"/>
          <w:sz w:val="32"/>
          <w:szCs w:val="32"/>
          <w:lang w:val="en-US" w:eastAsia="zh-CN"/>
        </w:rPr>
      </w:pPr>
      <w:r>
        <w:rPr>
          <w:rFonts w:hint="eastAsia" w:ascii="黑体" w:hAnsi="宋体" w:eastAsia="黑体" w:cs="黑体"/>
          <w:b/>
          <w:bCs/>
          <w:color w:val="000000"/>
          <w:sz w:val="32"/>
          <w:szCs w:val="32"/>
        </w:rPr>
        <w:t>被申请人</w:t>
      </w:r>
      <w:r>
        <w:rPr>
          <w:rFonts w:hint="eastAsia" w:ascii="黑体" w:hAnsi="宋体" w:eastAsia="黑体" w:cs="黑体"/>
          <w:b/>
          <w:bCs/>
          <w:color w:val="000000"/>
          <w:sz w:val="32"/>
          <w:szCs w:val="32"/>
          <w:lang w:eastAsia="zh-CN"/>
        </w:rPr>
        <w:t>：</w:t>
      </w:r>
      <w:r>
        <w:rPr>
          <w:rFonts w:hint="eastAsia" w:ascii="仿宋_GB2312" w:hAnsi="仿宋_GB2312" w:eastAsia="仿宋_GB2312" w:cs="仿宋_GB2312"/>
          <w:color w:val="000000"/>
          <w:w w:val="100"/>
          <w:sz w:val="32"/>
          <w:szCs w:val="32"/>
          <w:lang w:val="en-US" w:eastAsia="zh-CN"/>
        </w:rPr>
        <w:t>济南市公安局南部山区分局仲宫派出所。</w:t>
      </w:r>
    </w:p>
    <w:p w14:paraId="23035F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3" w:firstLineChars="200"/>
        <w:jc w:val="left"/>
        <w:textAlignment w:val="auto"/>
        <w:rPr>
          <w:w w:val="100"/>
        </w:rPr>
      </w:pPr>
      <w:r>
        <w:rPr>
          <w:rFonts w:hint="eastAsia" w:ascii="黑体" w:hAnsi="宋体" w:eastAsia="黑体" w:cs="黑体"/>
          <w:b/>
          <w:bCs/>
          <w:color w:val="000000"/>
          <w:w w:val="100"/>
          <w:sz w:val="32"/>
          <w:szCs w:val="32"/>
        </w:rPr>
        <w:t>第三人</w:t>
      </w:r>
      <w:r>
        <w:rPr>
          <w:rFonts w:hint="eastAsia" w:ascii="黑体" w:hAnsi="宋体" w:eastAsia="黑体" w:cs="黑体"/>
          <w:b/>
          <w:bCs/>
          <w:color w:val="000000"/>
          <w:w w:val="100"/>
          <w:sz w:val="32"/>
          <w:szCs w:val="32"/>
          <w:lang w:eastAsia="zh-CN"/>
        </w:rPr>
        <w:t>：</w:t>
      </w:r>
      <w:r>
        <w:rPr>
          <w:rFonts w:hint="eastAsia" w:ascii="仿宋_GB2312" w:hAnsi="仿宋_GB2312" w:eastAsia="仿宋_GB2312" w:cs="仿宋_GB2312"/>
          <w:color w:val="000000"/>
          <w:w w:val="100"/>
          <w:sz w:val="32"/>
          <w:szCs w:val="32"/>
          <w:lang w:val="en-US" w:eastAsia="zh-CN"/>
        </w:rPr>
        <w:t>任某某</w:t>
      </w:r>
      <w:r>
        <w:rPr>
          <w:rFonts w:hint="default" w:ascii="仿宋_GB2312" w:hAnsi="仿宋_GB2312" w:eastAsia="仿宋_GB2312" w:cs="仿宋_GB2312"/>
          <w:color w:val="000000"/>
          <w:w w:val="100"/>
          <w:sz w:val="32"/>
          <w:szCs w:val="32"/>
          <w:lang w:val="en-US" w:eastAsia="zh-CN"/>
        </w:rPr>
        <w:t>。</w:t>
      </w:r>
    </w:p>
    <w:p w14:paraId="7D34E7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000000"/>
          <w:w w:val="100"/>
          <w:sz w:val="32"/>
          <w:szCs w:val="32"/>
          <w:lang w:val="en-US" w:eastAsia="zh-CN"/>
        </w:rPr>
      </w:pPr>
      <w:r>
        <w:rPr>
          <w:rFonts w:hint="eastAsia" w:ascii="仿宋_GB2312" w:hAnsi="仿宋_GB2312" w:eastAsia="仿宋_GB2312" w:cs="仿宋_GB2312"/>
          <w:color w:val="000000"/>
          <w:w w:val="100"/>
          <w:sz w:val="32"/>
          <w:szCs w:val="32"/>
          <w:lang w:val="en-US" w:eastAsia="zh-CN"/>
        </w:rPr>
        <w:t>申请人不服被申请人于2025年5月23日作出的（仲宫）不罚决字〔2025〕10099号《不予行政处罚决定书》，</w:t>
      </w:r>
      <w:r>
        <w:rPr>
          <w:rFonts w:hint="default" w:ascii="仿宋_GB2312" w:hAnsi="仿宋_GB2312" w:eastAsia="仿宋_GB2312" w:cs="仿宋_GB2312"/>
          <w:color w:val="000000"/>
          <w:w w:val="100"/>
          <w:sz w:val="32"/>
          <w:szCs w:val="32"/>
          <w:lang w:val="en-US" w:eastAsia="zh-CN"/>
        </w:rPr>
        <w:t>向本机关提出复议申请，本机关于202</w:t>
      </w:r>
      <w:r>
        <w:rPr>
          <w:rFonts w:hint="eastAsia" w:ascii="仿宋_GB2312" w:hAnsi="仿宋_GB2312" w:eastAsia="仿宋_GB2312" w:cs="仿宋_GB2312"/>
          <w:color w:val="000000"/>
          <w:w w:val="100"/>
          <w:sz w:val="32"/>
          <w:szCs w:val="32"/>
          <w:lang w:val="en-US" w:eastAsia="zh-CN"/>
        </w:rPr>
        <w:t>5</w:t>
      </w:r>
      <w:r>
        <w:rPr>
          <w:rFonts w:hint="default" w:ascii="仿宋_GB2312" w:hAnsi="仿宋_GB2312" w:eastAsia="仿宋_GB2312" w:cs="仿宋_GB2312"/>
          <w:color w:val="000000"/>
          <w:w w:val="100"/>
          <w:sz w:val="32"/>
          <w:szCs w:val="32"/>
          <w:lang w:val="en-US" w:eastAsia="zh-CN"/>
        </w:rPr>
        <w:t>年</w:t>
      </w:r>
      <w:r>
        <w:rPr>
          <w:rFonts w:hint="eastAsia" w:ascii="仿宋_GB2312" w:hAnsi="仿宋_GB2312" w:eastAsia="仿宋_GB2312" w:cs="仿宋_GB2312"/>
          <w:color w:val="000000"/>
          <w:w w:val="100"/>
          <w:sz w:val="32"/>
          <w:szCs w:val="32"/>
          <w:lang w:val="en-US" w:eastAsia="zh-CN"/>
        </w:rPr>
        <w:t>7</w:t>
      </w:r>
      <w:r>
        <w:rPr>
          <w:rFonts w:hint="default" w:ascii="仿宋_GB2312" w:hAnsi="仿宋_GB2312" w:eastAsia="仿宋_GB2312" w:cs="仿宋_GB2312"/>
          <w:color w:val="000000"/>
          <w:w w:val="100"/>
          <w:sz w:val="32"/>
          <w:szCs w:val="32"/>
          <w:lang w:val="en-US" w:eastAsia="zh-CN"/>
        </w:rPr>
        <w:t>月</w:t>
      </w:r>
      <w:r>
        <w:rPr>
          <w:rFonts w:hint="eastAsia" w:ascii="仿宋_GB2312" w:hAnsi="仿宋_GB2312" w:eastAsia="仿宋_GB2312" w:cs="仿宋_GB2312"/>
          <w:color w:val="000000"/>
          <w:w w:val="100"/>
          <w:sz w:val="32"/>
          <w:szCs w:val="32"/>
          <w:lang w:val="en-US" w:eastAsia="zh-CN"/>
        </w:rPr>
        <w:t>24</w:t>
      </w:r>
      <w:r>
        <w:rPr>
          <w:rFonts w:hint="default" w:ascii="仿宋_GB2312" w:hAnsi="仿宋_GB2312" w:eastAsia="仿宋_GB2312" w:cs="仿宋_GB2312"/>
          <w:color w:val="000000"/>
          <w:w w:val="100"/>
          <w:sz w:val="32"/>
          <w:szCs w:val="32"/>
          <w:lang w:val="en-US" w:eastAsia="zh-CN"/>
        </w:rPr>
        <w:t>日依法受理，行政复议期间，依法听取当事人意见，本案现已审理结案。</w:t>
      </w:r>
    </w:p>
    <w:p w14:paraId="044946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left"/>
        <w:textAlignment w:val="auto"/>
        <w:rPr>
          <w:rFonts w:hint="default" w:ascii="仿宋_GB2312" w:hAnsi="仿宋_GB2312" w:eastAsia="仿宋_GB2312" w:cs="仿宋_GB2312"/>
          <w:color w:val="000000"/>
          <w:w w:val="100"/>
          <w:sz w:val="32"/>
          <w:szCs w:val="32"/>
          <w:lang w:val="en-US" w:eastAsia="zh-CN"/>
        </w:rPr>
      </w:pPr>
      <w:r>
        <w:rPr>
          <w:rFonts w:hint="eastAsia" w:ascii="黑体" w:hAnsi="宋体" w:eastAsia="黑体" w:cs="黑体"/>
          <w:b/>
          <w:bCs/>
          <w:color w:val="000000"/>
          <w:w w:val="100"/>
          <w:sz w:val="32"/>
          <w:szCs w:val="32"/>
        </w:rPr>
        <w:t>申请人行政复议请求</w:t>
      </w:r>
      <w:r>
        <w:rPr>
          <w:rFonts w:hint="eastAsia" w:ascii="黑体" w:hAnsi="宋体" w:eastAsia="黑体" w:cs="黑体"/>
          <w:b/>
          <w:bCs/>
          <w:color w:val="000000"/>
          <w:w w:val="100"/>
          <w:sz w:val="32"/>
          <w:szCs w:val="32"/>
          <w:lang w:eastAsia="zh-CN"/>
        </w:rPr>
        <w:t>：</w:t>
      </w:r>
      <w:r>
        <w:rPr>
          <w:rFonts w:hint="eastAsia" w:ascii="仿宋_GB2312" w:hAnsi="仿宋_GB2312" w:eastAsia="仿宋_GB2312" w:cs="仿宋_GB2312"/>
          <w:color w:val="000000"/>
          <w:w w:val="100"/>
          <w:kern w:val="0"/>
          <w:sz w:val="32"/>
          <w:szCs w:val="32"/>
          <w:lang w:val="en-US" w:eastAsia="zh-CN" w:bidi="ar"/>
        </w:rPr>
        <w:t>申请撤销（仲宫）不罚决字〔2025〕10099号《不予行政处罚决定书》。</w:t>
      </w:r>
    </w:p>
    <w:p w14:paraId="60B3935F">
      <w:pPr>
        <w:keepNext w:val="0"/>
        <w:keepLines w:val="0"/>
        <w:pageBreakBefore w:val="0"/>
        <w:kinsoku/>
        <w:wordWrap/>
        <w:overflowPunct/>
        <w:topLinePunct w:val="0"/>
        <w:autoSpaceDE/>
        <w:autoSpaceDN/>
        <w:bidi w:val="0"/>
        <w:snapToGrid w:val="0"/>
        <w:spacing w:line="600" w:lineRule="exact"/>
        <w:ind w:left="0" w:right="0" w:firstLine="630" w:firstLineChars="196"/>
        <w:jc w:val="left"/>
        <w:textAlignment w:val="auto"/>
        <w:rPr>
          <w:rFonts w:hint="default" w:ascii="仿宋_GB2312" w:hAnsi="仿宋_GB2312" w:eastAsia="仿宋_GB2312" w:cs="仿宋_GB2312"/>
          <w:color w:val="000000"/>
          <w:w w:val="100"/>
          <w:kern w:val="0"/>
          <w:sz w:val="32"/>
          <w:szCs w:val="32"/>
          <w:lang w:val="en-US" w:eastAsia="zh-CN" w:bidi="ar"/>
        </w:rPr>
      </w:pPr>
      <w:r>
        <w:rPr>
          <w:rFonts w:hint="eastAsia" w:ascii="黑体" w:hAnsi="宋体" w:eastAsia="黑体" w:cs="黑体"/>
          <w:b/>
          <w:bCs/>
          <w:color w:val="000000"/>
          <w:w w:val="100"/>
          <w:sz w:val="32"/>
          <w:szCs w:val="32"/>
        </w:rPr>
        <w:t>申请人称</w:t>
      </w:r>
      <w:r>
        <w:rPr>
          <w:rFonts w:hint="eastAsia" w:ascii="黑体" w:hAnsi="宋体" w:eastAsia="黑体" w:cs="黑体"/>
          <w:b/>
          <w:bCs/>
          <w:color w:val="000000"/>
          <w:w w:val="100"/>
          <w:sz w:val="32"/>
          <w:szCs w:val="32"/>
          <w:lang w:eastAsia="zh-CN"/>
        </w:rPr>
        <w:t>：</w:t>
      </w:r>
      <w:r>
        <w:rPr>
          <w:rFonts w:hint="eastAsia" w:ascii="仿宋_GB2312" w:hAnsi="仿宋_GB2312" w:eastAsia="仿宋_GB2312" w:cs="仿宋_GB2312"/>
          <w:color w:val="000000"/>
          <w:w w:val="100"/>
          <w:kern w:val="0"/>
          <w:sz w:val="32"/>
          <w:szCs w:val="32"/>
          <w:lang w:val="en-US" w:eastAsia="zh-CN" w:bidi="ar"/>
        </w:rPr>
        <w:t>一、我在被殴打时，胡同内有监控，是打我的人家里的监控，后来民警调查时说不是监控，是一个灯，调查过后我又找人去看过，确实是监控不是灯。二、我被殴打时，邻居在场并看到，后民警取证时，邻居否认，派出所民警口头警告我，说我是胡说，并没有再次调查（有电话录音为证）。三、我被殴打后，由120送往南山区医院检查并治疗，当时检查为脸部软组织挫伤，头部有淤青，后验伤报告中没有体现头部伤且脸部软组织挫伤，并没有认定轻微伤。四、殴打我的邻居在我出院后威胁我说派出所他已经找了关系，他不会有事，并说让我等着还要打我。五、殴打我的人在打我后直接跑了，几天后才回家。</w:t>
      </w:r>
    </w:p>
    <w:p w14:paraId="6834C5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firstLine="643" w:firstLineChars="200"/>
        <w:jc w:val="left"/>
        <w:textAlignment w:val="auto"/>
        <w:rPr>
          <w:rFonts w:hint="eastAsia" w:eastAsia="黑体"/>
          <w:b/>
          <w:bCs/>
          <w:w w:val="100"/>
          <w:lang w:eastAsia="zh-CN"/>
        </w:rPr>
      </w:pPr>
      <w:r>
        <w:rPr>
          <w:rFonts w:hint="eastAsia" w:ascii="黑体" w:hAnsi="宋体" w:eastAsia="黑体" w:cs="黑体"/>
          <w:b/>
          <w:bCs/>
          <w:color w:val="000000"/>
          <w:w w:val="100"/>
          <w:sz w:val="32"/>
          <w:szCs w:val="32"/>
        </w:rPr>
        <w:t>申请人向本机关提交如下证据材料（复印件）</w:t>
      </w:r>
      <w:r>
        <w:rPr>
          <w:rFonts w:hint="eastAsia" w:ascii="黑体" w:hAnsi="宋体" w:eastAsia="黑体" w:cs="黑体"/>
          <w:b/>
          <w:bCs/>
          <w:color w:val="000000"/>
          <w:w w:val="100"/>
          <w:sz w:val="32"/>
          <w:szCs w:val="32"/>
          <w:lang w:eastAsia="zh-CN"/>
        </w:rPr>
        <w:t>：</w:t>
      </w:r>
    </w:p>
    <w:p w14:paraId="419860E8">
      <w:pPr>
        <w:keepNext w:val="0"/>
        <w:keepLines w:val="0"/>
        <w:pageBreakBefore w:val="0"/>
        <w:kinsoku/>
        <w:wordWrap/>
        <w:overflowPunct/>
        <w:topLinePunct w:val="0"/>
        <w:autoSpaceDE/>
        <w:autoSpaceDN/>
        <w:bidi w:val="0"/>
        <w:snapToGrid w:val="0"/>
        <w:spacing w:line="600" w:lineRule="exact"/>
        <w:ind w:left="0" w:right="0" w:firstLine="627" w:firstLineChars="196"/>
        <w:jc w:val="left"/>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1.（仲宫）不罚决字〔2025〕10099号《不予行政处罚决定书》；</w:t>
      </w:r>
    </w:p>
    <w:p w14:paraId="0DBF6E38">
      <w:pPr>
        <w:keepNext w:val="0"/>
        <w:keepLines w:val="0"/>
        <w:pageBreakBefore w:val="0"/>
        <w:kinsoku/>
        <w:wordWrap/>
        <w:overflowPunct/>
        <w:topLinePunct w:val="0"/>
        <w:autoSpaceDE/>
        <w:autoSpaceDN/>
        <w:bidi w:val="0"/>
        <w:snapToGrid w:val="0"/>
        <w:spacing w:line="600" w:lineRule="exact"/>
        <w:ind w:left="0" w:right="0" w:firstLine="627" w:firstLineChars="196"/>
        <w:jc w:val="left"/>
        <w:textAlignment w:val="auto"/>
        <w:rPr>
          <w:rFonts w:hint="default"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2.相关病历材料。</w:t>
      </w:r>
    </w:p>
    <w:p w14:paraId="68A0FC5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黑体" w:hAnsi="宋体" w:eastAsia="黑体" w:cs="黑体"/>
          <w:b/>
          <w:bCs/>
          <w:color w:val="000000"/>
          <w:w w:val="100"/>
          <w:sz w:val="32"/>
          <w:szCs w:val="32"/>
        </w:rPr>
        <w:t>被申请人答复称</w:t>
      </w:r>
      <w:r>
        <w:rPr>
          <w:rFonts w:hint="eastAsia" w:ascii="黑体" w:hAnsi="宋体" w:eastAsia="黑体" w:cs="黑体"/>
          <w:b/>
          <w:bCs/>
          <w:color w:val="000000"/>
          <w:w w:val="100"/>
          <w:sz w:val="32"/>
          <w:szCs w:val="32"/>
          <w:lang w:eastAsia="zh-CN"/>
        </w:rPr>
        <w:t>：</w:t>
      </w:r>
      <w:r>
        <w:rPr>
          <w:rFonts w:hint="eastAsia" w:ascii="仿宋_GB2312" w:hAnsi="仿宋_GB2312" w:eastAsia="仿宋_GB2312" w:cs="仿宋_GB2312"/>
          <w:color w:val="000000"/>
          <w:w w:val="100"/>
          <w:kern w:val="0"/>
          <w:sz w:val="32"/>
          <w:szCs w:val="32"/>
          <w:lang w:val="en-US" w:eastAsia="zh-CN" w:bidi="ar"/>
        </w:rPr>
        <w:t>一、2025年4月9日6时45分，济南市公安局南部山区分局仲宫派出所接到110指令：报警人段某某，称自己在仲宫镇租房居住，今天早上6时许住在对面的邻居任某某因怀疑自己抽烟引起火灾发生争吵，并用拳头殴打自己的头部。民警到场时段某某躺在自己门口地上，任某某离开现场，段某某已由120送医，仲宫派出所当日联系任某某到所了解情况，并受理为治安案件调查。二、经调查查明，4月9日6时许，在历城</w:t>
      </w:r>
      <w:bookmarkStart w:id="0" w:name="_GoBack"/>
      <w:bookmarkEnd w:id="0"/>
      <w:r>
        <w:rPr>
          <w:rFonts w:hint="eastAsia" w:ascii="仿宋_GB2312" w:hAnsi="仿宋_GB2312" w:eastAsia="仿宋_GB2312" w:cs="仿宋_GB2312"/>
          <w:color w:val="000000"/>
          <w:w w:val="100"/>
          <w:kern w:val="0"/>
          <w:sz w:val="32"/>
          <w:szCs w:val="32"/>
          <w:lang w:val="en-US" w:eastAsia="zh-CN" w:bidi="ar"/>
        </w:rPr>
        <w:t>区仲宫镇**胡同内，因任某某因怀疑邻居段某某引起火灾，任某某主动找到段某某进行质问并发生争吵，后段某某报警称任某某用拳头用力击打自己面部，经法医鉴定段某某的伤情不构成轻微伤。三、段某某的复议理由不符合事实，事发后，民警多次前往事发地对周围监控进行摸排调查，发现在任某某家门口有一类似监控的探头，经民警询问任某某以及调查，此类似监控的探头系一探照灯，无录像功能，且段某某、任某某二人发生争执位置在探照灯背侧，即使有录像功能也无法记录二人发生争执的具体情况；民警也前往医院对当时第一时间接诊段某某的医生进行询问并制作笔录，医生表示，段某某于2025年4月9日到医院就诊时，经初步检查并未看出被殴打的情况，软组织损伤也是段某某以及家属自述的情况，CT检查后未发现异常，遂做出诊断；任某某离开是因为自己要到单位工作。四、根据现有调查，未发现任某某有殴打段某某的事实，故认定任某某殴打他人的违法行为证据不足，事实不清，公安机关依据《中华人民共和国治安管理处罚法》第九十五条第二项之规定，给予任某某不予行政处罚的决定并无不当。综上所述，请求济南市南部山区管理委员会依法维持该决定。</w:t>
      </w:r>
    </w:p>
    <w:p w14:paraId="54AC2ACB">
      <w:pPr>
        <w:keepNext w:val="0"/>
        <w:keepLines w:val="0"/>
        <w:pageBreakBefore w:val="0"/>
        <w:kinsoku/>
        <w:wordWrap w:val="0"/>
        <w:overflowPunct/>
        <w:topLinePunct w:val="0"/>
        <w:autoSpaceDE/>
        <w:autoSpaceDN/>
        <w:bidi w:val="0"/>
        <w:adjustRightInd/>
        <w:snapToGrid/>
        <w:spacing w:before="0" w:line="600" w:lineRule="exact"/>
        <w:ind w:left="0" w:right="0" w:firstLine="643" w:firstLineChars="200"/>
        <w:jc w:val="left"/>
        <w:textAlignment w:val="auto"/>
        <w:rPr>
          <w:rFonts w:hint="eastAsia" w:eastAsia="黑体"/>
          <w:b/>
          <w:bCs/>
          <w:w w:val="100"/>
          <w:lang w:eastAsia="zh-CN"/>
        </w:rPr>
      </w:pPr>
      <w:r>
        <w:rPr>
          <w:rFonts w:hint="eastAsia" w:ascii="黑体" w:hAnsi="宋体" w:eastAsia="黑体" w:cs="黑体"/>
          <w:b/>
          <w:bCs/>
          <w:color w:val="000000"/>
          <w:w w:val="100"/>
          <w:sz w:val="32"/>
          <w:szCs w:val="32"/>
        </w:rPr>
        <w:t>被申请人向本机关提交如下证据材料（复印件）</w:t>
      </w:r>
      <w:r>
        <w:rPr>
          <w:rFonts w:hint="eastAsia" w:ascii="黑体" w:hAnsi="宋体" w:eastAsia="黑体" w:cs="黑体"/>
          <w:b/>
          <w:bCs/>
          <w:color w:val="000000"/>
          <w:w w:val="100"/>
          <w:sz w:val="32"/>
          <w:szCs w:val="32"/>
          <w:lang w:eastAsia="zh-CN"/>
        </w:rPr>
        <w:t>：</w:t>
      </w:r>
    </w:p>
    <w:p w14:paraId="75FDE88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1.立案登记表；</w:t>
      </w:r>
    </w:p>
    <w:p w14:paraId="44B1575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2.</w:t>
      </w:r>
      <w:r>
        <w:rPr>
          <w:rFonts w:hint="eastAsia" w:ascii="仿宋_GB2312" w:hAnsi="仿宋_GB2312" w:eastAsia="仿宋_GB2312" w:cs="仿宋_GB2312"/>
          <w:color w:val="000000"/>
          <w:w w:val="100"/>
          <w:kern w:val="0"/>
          <w:sz w:val="32"/>
          <w:szCs w:val="32"/>
          <w:lang w:val="en-US" w:eastAsia="zh-CN" w:bidi="ar"/>
        </w:rPr>
        <w:t>立案告知书；</w:t>
      </w:r>
    </w:p>
    <w:p w14:paraId="2B7DD95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3.</w:t>
      </w:r>
      <w:r>
        <w:rPr>
          <w:rFonts w:hint="eastAsia" w:ascii="仿宋_GB2312" w:hAnsi="仿宋_GB2312" w:eastAsia="仿宋_GB2312" w:cs="仿宋_GB2312"/>
          <w:color w:val="000000"/>
          <w:w w:val="100"/>
          <w:kern w:val="0"/>
          <w:sz w:val="32"/>
          <w:szCs w:val="32"/>
          <w:lang w:val="en-US" w:eastAsia="zh-CN" w:bidi="ar"/>
        </w:rPr>
        <w:t>户籍证明及前科证明材料；</w:t>
      </w:r>
    </w:p>
    <w:p w14:paraId="06EF19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4.</w:t>
      </w:r>
      <w:r>
        <w:rPr>
          <w:rFonts w:hint="eastAsia" w:ascii="仿宋_GB2312" w:hAnsi="仿宋_GB2312" w:eastAsia="仿宋_GB2312" w:cs="仿宋_GB2312"/>
          <w:color w:val="000000"/>
          <w:w w:val="100"/>
          <w:kern w:val="0"/>
          <w:sz w:val="32"/>
          <w:szCs w:val="32"/>
          <w:lang w:val="en-US" w:eastAsia="zh-CN" w:bidi="ar"/>
        </w:rPr>
        <w:t>归案经过；</w:t>
      </w:r>
    </w:p>
    <w:p w14:paraId="747FB6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5.伤情照片；</w:t>
      </w:r>
    </w:p>
    <w:p w14:paraId="63F07DC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6</w:t>
      </w:r>
      <w:r>
        <w:rPr>
          <w:rFonts w:hint="default" w:ascii="仿宋_GB2312" w:hAnsi="仿宋_GB2312" w:eastAsia="仿宋_GB2312" w:cs="仿宋_GB2312"/>
          <w:color w:val="000000"/>
          <w:w w:val="100"/>
          <w:kern w:val="0"/>
          <w:sz w:val="32"/>
          <w:szCs w:val="32"/>
          <w:lang w:val="en-US" w:eastAsia="zh-CN" w:bidi="ar"/>
        </w:rPr>
        <w:t>.</w:t>
      </w:r>
      <w:r>
        <w:rPr>
          <w:rFonts w:hint="eastAsia" w:ascii="仿宋_GB2312" w:hAnsi="仿宋_GB2312" w:eastAsia="仿宋_GB2312" w:cs="仿宋_GB2312"/>
          <w:color w:val="000000"/>
          <w:w w:val="100"/>
          <w:kern w:val="0"/>
          <w:sz w:val="32"/>
          <w:szCs w:val="32"/>
          <w:lang w:val="en-US" w:eastAsia="zh-CN" w:bidi="ar"/>
        </w:rPr>
        <w:t>传唤证及被传唤人家属通知书；</w:t>
      </w:r>
    </w:p>
    <w:p w14:paraId="690452B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7.</w:t>
      </w:r>
      <w:r>
        <w:rPr>
          <w:rFonts w:hint="eastAsia" w:ascii="仿宋_GB2312" w:hAnsi="仿宋_GB2312" w:eastAsia="仿宋_GB2312" w:cs="仿宋_GB2312"/>
          <w:color w:val="000000"/>
          <w:w w:val="100"/>
          <w:kern w:val="0"/>
          <w:sz w:val="32"/>
          <w:szCs w:val="32"/>
          <w:lang w:val="en-US" w:eastAsia="zh-CN" w:bidi="ar"/>
        </w:rPr>
        <w:t>延长办案期限审批表；</w:t>
      </w:r>
    </w:p>
    <w:p w14:paraId="5D5D0F4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8.</w:t>
      </w:r>
      <w:r>
        <w:rPr>
          <w:rFonts w:hint="eastAsia" w:ascii="仿宋_GB2312" w:hAnsi="仿宋_GB2312" w:eastAsia="仿宋_GB2312" w:cs="仿宋_GB2312"/>
          <w:color w:val="000000"/>
          <w:w w:val="100"/>
          <w:kern w:val="0"/>
          <w:sz w:val="32"/>
          <w:szCs w:val="32"/>
          <w:lang w:val="en-US" w:eastAsia="zh-CN" w:bidi="ar"/>
        </w:rPr>
        <w:t>呈请不予行政处罚审批表；</w:t>
      </w:r>
    </w:p>
    <w:p w14:paraId="7BA56D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9.不予行政处罚决定书；</w:t>
      </w:r>
    </w:p>
    <w:p w14:paraId="348E4F6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10.行送达回执；</w:t>
      </w:r>
    </w:p>
    <w:p w14:paraId="08AFF92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11.接受证据材料；</w:t>
      </w:r>
    </w:p>
    <w:p w14:paraId="6DEE57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12.伤情鉴定材料；</w:t>
      </w:r>
    </w:p>
    <w:p w14:paraId="6AA5AFB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13.鉴定意见通知书；</w:t>
      </w:r>
    </w:p>
    <w:p w14:paraId="4A53E71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14.段某某笔录材料；</w:t>
      </w:r>
    </w:p>
    <w:p w14:paraId="5A5BF40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15.任某某笔录材料；</w:t>
      </w:r>
    </w:p>
    <w:p w14:paraId="495E549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16.翟某某笔录材料；</w:t>
      </w:r>
    </w:p>
    <w:p w14:paraId="35D2781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17.任某某笔录材料；</w:t>
      </w:r>
    </w:p>
    <w:p w14:paraId="6A9649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18.江某某笔录材料。</w:t>
      </w:r>
    </w:p>
    <w:p w14:paraId="46512AED">
      <w:pPr>
        <w:keepNext w:val="0"/>
        <w:keepLines w:val="0"/>
        <w:pageBreakBefore w:val="0"/>
        <w:kinsoku/>
        <w:overflowPunct/>
        <w:topLinePunct w:val="0"/>
        <w:autoSpaceDE/>
        <w:autoSpaceDN/>
        <w:bidi w:val="0"/>
        <w:spacing w:line="600" w:lineRule="exact"/>
        <w:ind w:firstLine="643" w:firstLineChars="200"/>
        <w:textAlignment w:val="auto"/>
        <w:rPr>
          <w:rFonts w:hint="default" w:ascii="仿宋_GB2312" w:hAnsi="仿宋_GB2312" w:eastAsia="仿宋_GB2312" w:cs="仿宋_GB2312"/>
          <w:color w:val="000000"/>
          <w:w w:val="100"/>
          <w:kern w:val="0"/>
          <w:sz w:val="32"/>
          <w:szCs w:val="32"/>
          <w:lang w:val="en-US" w:eastAsia="zh-CN" w:bidi="ar"/>
        </w:rPr>
      </w:pPr>
      <w:r>
        <w:rPr>
          <w:rFonts w:hint="eastAsia" w:ascii="黑体" w:hAnsi="宋体" w:eastAsia="黑体" w:cs="黑体"/>
          <w:b/>
          <w:bCs/>
          <w:color w:val="auto"/>
          <w:sz w:val="32"/>
          <w:szCs w:val="32"/>
        </w:rPr>
        <w:t>本机关经审查查明</w:t>
      </w:r>
      <w:r>
        <w:rPr>
          <w:rFonts w:hint="eastAsia" w:ascii="Times New Roman" w:hAnsi="Times New Roman" w:eastAsia="黑体" w:cs="Times New Roman"/>
          <w:b/>
          <w:bCs/>
          <w:color w:val="auto"/>
          <w:sz w:val="32"/>
          <w:szCs w:val="32"/>
          <w:lang w:eastAsia="zh-CN"/>
        </w:rPr>
        <w:t>：</w:t>
      </w:r>
      <w:r>
        <w:rPr>
          <w:rFonts w:hint="eastAsia" w:ascii="仿宋_GB2312" w:hAnsi="仿宋_GB2312" w:eastAsia="仿宋_GB2312" w:cs="仿宋_GB2312"/>
          <w:color w:val="000000"/>
          <w:w w:val="100"/>
          <w:kern w:val="0"/>
          <w:sz w:val="32"/>
          <w:szCs w:val="32"/>
          <w:lang w:val="en-US" w:eastAsia="zh-CN" w:bidi="ar"/>
        </w:rPr>
        <w:t>2025年4月9日6时许，第三人怀疑自家北侧煤炭被引燃与申请人有关，在仲宫街道**胡同内与申请人发生争执，后申请人报警称被第三人殴打，被申请人于2025年4月9日立案，期间进行调查、委托鉴定、延长办案期限，经鉴定，申请人损伤程度不鉴定为轻微伤，被申请人认定第三人殴打他人的违法事实不能成立，根据《中华人民共和国治安管理处罚法》第九十五条第二项之规定，于2025年5月23日，对第三人作出（仲宫）不罚决字〔2025〕10099号《不予行政处罚决定书》，并依法送达。</w:t>
      </w:r>
    </w:p>
    <w:p w14:paraId="6F634E02">
      <w:pPr>
        <w:keepNext w:val="0"/>
        <w:keepLines w:val="0"/>
        <w:pageBreakBefore w:val="0"/>
        <w:kinsoku/>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另查明，案发现场没有监控，申请人于案发当日由120送济南市南山人民医院就诊，经诊断，申请人头部损伤、多处软组织损伤、锁骨骨折（陈旧性）。2025年5月14日，被申请人询问申请人的就诊医生，医生陈述：申请人就诊时无明显外伤、无明显器质性损失。</w:t>
      </w:r>
    </w:p>
    <w:p w14:paraId="3CF6E32D">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以上事实由申请人、被申请人提交的证据材料予以证实。</w:t>
      </w:r>
    </w:p>
    <w:p w14:paraId="61C33B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仿宋_GB2312"/>
          <w:color w:val="auto"/>
          <w:kern w:val="0"/>
          <w:sz w:val="32"/>
          <w:szCs w:val="32"/>
          <w:lang w:eastAsia="zh-CN" w:bidi="ar"/>
        </w:rPr>
      </w:pPr>
      <w:r>
        <w:rPr>
          <w:rFonts w:hint="eastAsia" w:ascii="黑体" w:hAnsi="宋体" w:eastAsia="黑体" w:cs="黑体"/>
          <w:b/>
          <w:bCs/>
          <w:color w:val="auto"/>
          <w:sz w:val="32"/>
          <w:szCs w:val="32"/>
        </w:rPr>
        <w:t>本机关认为</w:t>
      </w:r>
      <w:r>
        <w:rPr>
          <w:rFonts w:hint="eastAsia" w:ascii="黑体" w:hAnsi="宋体" w:eastAsia="黑体" w:cs="黑体"/>
          <w:b/>
          <w:bCs/>
          <w:color w:val="auto"/>
          <w:sz w:val="32"/>
          <w:szCs w:val="32"/>
          <w:lang w:eastAsia="zh-CN"/>
        </w:rPr>
        <w:t>：</w:t>
      </w:r>
      <w:r>
        <w:rPr>
          <w:rFonts w:hint="eastAsia" w:ascii="仿宋_GB2312" w:hAnsi="仿宋_GB2312" w:eastAsia="仿宋_GB2312" w:cs="仿宋_GB2312"/>
          <w:color w:val="000000"/>
          <w:w w:val="100"/>
          <w:kern w:val="0"/>
          <w:sz w:val="32"/>
          <w:szCs w:val="32"/>
          <w:lang w:val="en-US" w:eastAsia="zh-CN" w:bidi="ar"/>
        </w:rPr>
        <w:t>根据《中华人民共和国治安管理处罚法》第七条：“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具有对违反治安管理的行为作出处理的法定职权。</w:t>
      </w:r>
    </w:p>
    <w:p w14:paraId="393AB255">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中华人民共和国行政处罚法》第四十条：“公民、法人或者其他组织违反行政管理秩序的行为，依法应当给予行政处罚的，行政机关必须查明事实；违法事实不清、证据不足的，不得给予行政处罚。”《中华人民共和国治安管理处罚法》第五条第一款：“治安管理处罚必须以事实为依据，与违反治安管理行为的性质、情节以及社会危害程度相当。”和第九十三条：“公安机关查处治安案件，对没有本人陈述，但其他证据能够证明案件事实的，可以作出治安管理处罚决定。但是，只有本人陈述，没有其他证据证明的，不能作出治安管理处罚决定。”本案中，申请人认为第三人对其殴打，被申请人在案发后对申请人、第三人及第三人妻子等人进行询问，申请人与第三人陈述事实存在矛盾，虽然济南市南山人民医院出具的诊断证明记载申请人有伤情，但经鉴定，申请人损伤程度不鉴定为轻微伤，申请人就诊时的医生亦陈述申请人就诊时无明显外伤，且案发现场无监控及其他目击证人，案发过程无法客观还原，被申请人经过调查取证，认定无证据证实第三人存在殴打申请人的行为，第三人殴打他人的违法事实不能成立符合上述规定。被申请人根据《中华人民共和国治安管理处罚法》第九十五条第二项：“治安案件调查结束后，公安机关应当根据不同情况，分别作出以下处理：（二）依法不予处罚的，或者违法事实不能成立的，作出不予处罚决定；”之规定，对第三人作出（仲宫）不罚决字〔2025〕10099号《不予行政处罚决定书》，事实清楚，证据确凿，适用依据正确。</w:t>
      </w:r>
    </w:p>
    <w:p w14:paraId="441B48BE">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《中华人民共和国治安管理处罚法》第九十九条：“公安机关办理治安案件的期限，自受理之日起不得超过三十日；案情重大、复杂的，经上一级公安机关批准，可以延长三十日。……”本案中，被申请人于</w:t>
      </w:r>
      <w:r>
        <w:rPr>
          <w:rFonts w:hint="default" w:ascii="仿宋_GB2312" w:hAnsi="仿宋_GB2312" w:eastAsia="仿宋_GB2312" w:cs="仿宋_GB2312"/>
          <w:color w:val="000000"/>
          <w:w w:val="100"/>
          <w:kern w:val="0"/>
          <w:sz w:val="32"/>
          <w:szCs w:val="32"/>
          <w:lang w:val="en-US" w:eastAsia="zh-CN" w:bidi="ar"/>
        </w:rPr>
        <w:t>202</w:t>
      </w:r>
      <w:r>
        <w:rPr>
          <w:rFonts w:hint="eastAsia" w:ascii="仿宋_GB2312" w:hAnsi="仿宋_GB2312" w:eastAsia="仿宋_GB2312" w:cs="仿宋_GB2312"/>
          <w:color w:val="000000"/>
          <w:w w:val="100"/>
          <w:kern w:val="0"/>
          <w:sz w:val="32"/>
          <w:szCs w:val="32"/>
          <w:lang w:val="en-US" w:eastAsia="zh-CN" w:bidi="ar"/>
        </w:rPr>
        <w:t>5</w:t>
      </w:r>
      <w:r>
        <w:rPr>
          <w:rFonts w:hint="default" w:ascii="仿宋_GB2312" w:hAnsi="仿宋_GB2312" w:eastAsia="仿宋_GB2312" w:cs="仿宋_GB2312"/>
          <w:color w:val="000000"/>
          <w:w w:val="100"/>
          <w:kern w:val="0"/>
          <w:sz w:val="32"/>
          <w:szCs w:val="32"/>
          <w:lang w:val="en-US" w:eastAsia="zh-CN" w:bidi="ar"/>
        </w:rPr>
        <w:t>年</w:t>
      </w:r>
      <w:r>
        <w:rPr>
          <w:rFonts w:hint="eastAsia" w:ascii="仿宋_GB2312" w:hAnsi="仿宋_GB2312" w:eastAsia="仿宋_GB2312" w:cs="仿宋_GB2312"/>
          <w:color w:val="000000"/>
          <w:w w:val="100"/>
          <w:kern w:val="0"/>
          <w:sz w:val="32"/>
          <w:szCs w:val="32"/>
          <w:lang w:val="en-US" w:eastAsia="zh-CN" w:bidi="ar"/>
        </w:rPr>
        <w:t>4</w:t>
      </w:r>
      <w:r>
        <w:rPr>
          <w:rFonts w:hint="default" w:ascii="仿宋_GB2312" w:hAnsi="仿宋_GB2312" w:eastAsia="仿宋_GB2312" w:cs="仿宋_GB2312"/>
          <w:color w:val="000000"/>
          <w:w w:val="100"/>
          <w:kern w:val="0"/>
          <w:sz w:val="32"/>
          <w:szCs w:val="32"/>
          <w:lang w:val="en-US" w:eastAsia="zh-CN" w:bidi="ar"/>
        </w:rPr>
        <w:t>月</w:t>
      </w:r>
      <w:r>
        <w:rPr>
          <w:rFonts w:hint="eastAsia" w:ascii="仿宋_GB2312" w:hAnsi="仿宋_GB2312" w:eastAsia="仿宋_GB2312" w:cs="仿宋_GB2312"/>
          <w:color w:val="000000"/>
          <w:w w:val="100"/>
          <w:kern w:val="0"/>
          <w:sz w:val="32"/>
          <w:szCs w:val="32"/>
          <w:lang w:val="en-US" w:eastAsia="zh-CN" w:bidi="ar"/>
        </w:rPr>
        <w:t>9</w:t>
      </w:r>
      <w:r>
        <w:rPr>
          <w:rFonts w:hint="default" w:ascii="仿宋_GB2312" w:hAnsi="仿宋_GB2312" w:eastAsia="仿宋_GB2312" w:cs="仿宋_GB2312"/>
          <w:color w:val="000000"/>
          <w:w w:val="100"/>
          <w:kern w:val="0"/>
          <w:sz w:val="32"/>
          <w:szCs w:val="32"/>
          <w:lang w:val="en-US" w:eastAsia="zh-CN" w:bidi="ar"/>
        </w:rPr>
        <w:t>日</w:t>
      </w:r>
      <w:r>
        <w:rPr>
          <w:rFonts w:hint="eastAsia" w:ascii="仿宋_GB2312" w:hAnsi="仿宋_GB2312" w:eastAsia="仿宋_GB2312" w:cs="仿宋_GB2312"/>
          <w:color w:val="000000"/>
          <w:w w:val="100"/>
          <w:kern w:val="0"/>
          <w:sz w:val="32"/>
          <w:szCs w:val="32"/>
          <w:lang w:val="en-US" w:eastAsia="zh-CN" w:bidi="ar"/>
        </w:rPr>
        <w:t>立案，于</w:t>
      </w:r>
      <w:r>
        <w:rPr>
          <w:rFonts w:hint="default" w:ascii="仿宋_GB2312" w:hAnsi="仿宋_GB2312" w:eastAsia="仿宋_GB2312" w:cs="仿宋_GB2312"/>
          <w:color w:val="000000"/>
          <w:w w:val="100"/>
          <w:kern w:val="0"/>
          <w:sz w:val="32"/>
          <w:szCs w:val="32"/>
          <w:lang w:val="en-US" w:eastAsia="zh-CN" w:bidi="ar"/>
        </w:rPr>
        <w:t>202</w:t>
      </w:r>
      <w:r>
        <w:rPr>
          <w:rFonts w:hint="eastAsia" w:ascii="仿宋_GB2312" w:hAnsi="仿宋_GB2312" w:eastAsia="仿宋_GB2312" w:cs="仿宋_GB2312"/>
          <w:color w:val="000000"/>
          <w:w w:val="100"/>
          <w:kern w:val="0"/>
          <w:sz w:val="32"/>
          <w:szCs w:val="32"/>
          <w:lang w:val="en-US" w:eastAsia="zh-CN" w:bidi="ar"/>
        </w:rPr>
        <w:t>5</w:t>
      </w:r>
      <w:r>
        <w:rPr>
          <w:rFonts w:hint="default" w:ascii="仿宋_GB2312" w:hAnsi="仿宋_GB2312" w:eastAsia="仿宋_GB2312" w:cs="仿宋_GB2312"/>
          <w:color w:val="000000"/>
          <w:w w:val="100"/>
          <w:kern w:val="0"/>
          <w:sz w:val="32"/>
          <w:szCs w:val="32"/>
          <w:lang w:val="en-US" w:eastAsia="zh-CN" w:bidi="ar"/>
        </w:rPr>
        <w:t>年</w:t>
      </w:r>
      <w:r>
        <w:rPr>
          <w:rFonts w:hint="eastAsia" w:ascii="仿宋_GB2312" w:hAnsi="仿宋_GB2312" w:eastAsia="仿宋_GB2312" w:cs="仿宋_GB2312"/>
          <w:color w:val="000000"/>
          <w:w w:val="100"/>
          <w:kern w:val="0"/>
          <w:sz w:val="32"/>
          <w:szCs w:val="32"/>
          <w:lang w:val="en-US" w:eastAsia="zh-CN" w:bidi="ar"/>
        </w:rPr>
        <w:t>5</w:t>
      </w:r>
      <w:r>
        <w:rPr>
          <w:rFonts w:hint="default" w:ascii="仿宋_GB2312" w:hAnsi="仿宋_GB2312" w:eastAsia="仿宋_GB2312" w:cs="仿宋_GB2312"/>
          <w:color w:val="000000"/>
          <w:w w:val="100"/>
          <w:kern w:val="0"/>
          <w:sz w:val="32"/>
          <w:szCs w:val="32"/>
          <w:lang w:val="en-US" w:eastAsia="zh-CN" w:bidi="ar"/>
        </w:rPr>
        <w:t>月</w:t>
      </w:r>
      <w:r>
        <w:rPr>
          <w:rFonts w:hint="eastAsia" w:ascii="仿宋_GB2312" w:hAnsi="仿宋_GB2312" w:eastAsia="仿宋_GB2312" w:cs="仿宋_GB2312"/>
          <w:color w:val="000000"/>
          <w:w w:val="100"/>
          <w:kern w:val="0"/>
          <w:sz w:val="32"/>
          <w:szCs w:val="32"/>
          <w:lang w:val="en-US" w:eastAsia="zh-CN" w:bidi="ar"/>
        </w:rPr>
        <w:t>4</w:t>
      </w:r>
      <w:r>
        <w:rPr>
          <w:rFonts w:hint="default" w:ascii="仿宋_GB2312" w:hAnsi="仿宋_GB2312" w:eastAsia="仿宋_GB2312" w:cs="仿宋_GB2312"/>
          <w:color w:val="000000"/>
          <w:w w:val="100"/>
          <w:kern w:val="0"/>
          <w:sz w:val="32"/>
          <w:szCs w:val="32"/>
          <w:lang w:val="en-US" w:eastAsia="zh-CN" w:bidi="ar"/>
        </w:rPr>
        <w:t>日</w:t>
      </w:r>
      <w:r>
        <w:rPr>
          <w:rFonts w:hint="eastAsia" w:ascii="仿宋_GB2312" w:hAnsi="仿宋_GB2312" w:eastAsia="仿宋_GB2312" w:cs="仿宋_GB2312"/>
          <w:color w:val="000000"/>
          <w:w w:val="100"/>
          <w:kern w:val="0"/>
          <w:sz w:val="32"/>
          <w:szCs w:val="32"/>
          <w:lang w:val="en-US" w:eastAsia="zh-CN" w:bidi="ar"/>
        </w:rPr>
        <w:t>延长办案期限30日，于2025年5月23日</w:t>
      </w:r>
      <w:r>
        <w:rPr>
          <w:rFonts w:hint="default" w:ascii="仿宋_GB2312" w:hAnsi="仿宋_GB2312" w:eastAsia="仿宋_GB2312" w:cs="仿宋_GB2312"/>
          <w:color w:val="000000"/>
          <w:w w:val="100"/>
          <w:kern w:val="0"/>
          <w:sz w:val="32"/>
          <w:szCs w:val="32"/>
          <w:lang w:val="en-US" w:eastAsia="zh-CN" w:bidi="ar"/>
        </w:rPr>
        <w:t>作出（仲宫）不罚决字〔2025〕10099号《不予行政处罚决定书》</w:t>
      </w:r>
      <w:r>
        <w:rPr>
          <w:rFonts w:hint="eastAsia" w:ascii="仿宋_GB2312" w:hAnsi="仿宋_GB2312" w:eastAsia="仿宋_GB2312" w:cs="仿宋_GB2312"/>
          <w:color w:val="000000"/>
          <w:w w:val="100"/>
          <w:kern w:val="0"/>
          <w:sz w:val="32"/>
          <w:szCs w:val="32"/>
          <w:lang w:val="en-US" w:eastAsia="zh-CN" w:bidi="ar"/>
        </w:rPr>
        <w:t>，符合上述规定。根据《中华人民共和国治安管理处罚法》第七十七条、第七十八条、第八十二条、第八十三条、第九十条、第九十七条和《公安机关办理行政案件程序规定》第二十六条、第三十六条、第五十条、第八十九条等规定，被申请人依法履行了受案、调查、询问、委托鉴定、决定、送达等程序，程序合法。</w:t>
      </w:r>
    </w:p>
    <w:p w14:paraId="1F0B9AF2">
      <w:pPr>
        <w:pStyle w:val="5"/>
        <w:keepNext w:val="0"/>
        <w:keepLines w:val="0"/>
        <w:pageBreakBefore w:val="0"/>
        <w:widowControl/>
        <w:kinsoku/>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color w:val="auto"/>
          <w:sz w:val="32"/>
          <w:szCs w:val="32"/>
          <w:lang w:eastAsia="zh-CN"/>
        </w:rPr>
      </w:pPr>
      <w:r>
        <w:rPr>
          <w:rFonts w:ascii="仿宋_GB2312" w:hAnsi="Times New Roman" w:eastAsia="仿宋_GB2312" w:cs="仿宋_GB2312"/>
          <w:color w:val="auto"/>
          <w:sz w:val="32"/>
          <w:szCs w:val="32"/>
        </w:rPr>
        <w:t>综上</w:t>
      </w:r>
      <w:r>
        <w:rPr>
          <w:rFonts w:hint="eastAsia" w:ascii="仿宋_GB2312" w:hAnsi="Times New Roman" w:eastAsia="仿宋_GB2312" w:cs="仿宋_GB2312"/>
          <w:color w:val="auto"/>
          <w:sz w:val="32"/>
          <w:szCs w:val="32"/>
          <w:lang w:eastAsia="zh-CN"/>
        </w:rPr>
        <w:t>所述，</w:t>
      </w:r>
      <w:r>
        <w:rPr>
          <w:rFonts w:ascii="仿宋_GB2312" w:hAnsi="Times New Roman" w:eastAsia="仿宋_GB2312" w:cs="仿宋_GB2312"/>
          <w:color w:val="auto"/>
          <w:sz w:val="32"/>
          <w:szCs w:val="32"/>
        </w:rPr>
        <w:t>根据《中华人民共和国行政复议法》第六十</w:t>
      </w:r>
      <w:r>
        <w:rPr>
          <w:rFonts w:hint="eastAsia" w:ascii="仿宋_GB2312" w:hAnsi="Times New Roman" w:eastAsia="仿宋_GB2312" w:cs="仿宋_GB2312"/>
          <w:color w:val="auto"/>
          <w:sz w:val="32"/>
          <w:szCs w:val="32"/>
        </w:rPr>
        <w:t>八</w:t>
      </w:r>
      <w:r>
        <w:rPr>
          <w:rFonts w:ascii="仿宋_GB2312" w:hAnsi="Times New Roman" w:eastAsia="仿宋_GB2312" w:cs="仿宋_GB2312"/>
          <w:color w:val="auto"/>
          <w:sz w:val="32"/>
          <w:szCs w:val="32"/>
        </w:rPr>
        <w:t>条之规定，本机关决定如下</w:t>
      </w:r>
      <w:r>
        <w:rPr>
          <w:rFonts w:hint="eastAsia" w:ascii="仿宋_GB2312" w:hAnsi="Times New Roman" w:eastAsia="仿宋_GB2312" w:cs="仿宋_GB2312"/>
          <w:color w:val="auto"/>
          <w:sz w:val="32"/>
          <w:szCs w:val="32"/>
          <w:lang w:eastAsia="zh-CN"/>
        </w:rPr>
        <w:t>：</w:t>
      </w:r>
    </w:p>
    <w:p w14:paraId="6D68356C">
      <w:pPr>
        <w:pStyle w:val="5"/>
        <w:keepNext w:val="0"/>
        <w:keepLines w:val="0"/>
        <w:pageBreakBefore w:val="0"/>
        <w:widowControl/>
        <w:kinsoku/>
        <w:overflowPunct/>
        <w:topLinePunct w:val="0"/>
        <w:autoSpaceDE/>
        <w:autoSpaceDN/>
        <w:bidi w:val="0"/>
        <w:spacing w:beforeAutospacing="0" w:afterAutospacing="0" w:line="600" w:lineRule="exact"/>
        <w:ind w:firstLine="643" w:firstLineChars="200"/>
        <w:jc w:val="both"/>
        <w:textAlignment w:val="auto"/>
        <w:rPr>
          <w:b/>
          <w:bCs/>
          <w:color w:val="auto"/>
        </w:rPr>
      </w:pPr>
      <w:r>
        <w:rPr>
          <w:rFonts w:ascii="仿宋_GB2312" w:eastAsia="仿宋_GB2312" w:cs="仿宋_GB2312"/>
          <w:b/>
          <w:bCs/>
          <w:color w:val="auto"/>
          <w:sz w:val="32"/>
          <w:szCs w:val="32"/>
        </w:rPr>
        <w:t>维持被申请人作出的</w:t>
      </w:r>
      <w:r>
        <w:rPr>
          <w:rFonts w:hint="eastAsia" w:ascii="仿宋_GB2312" w:hAnsi="Times New Roman" w:eastAsia="仿宋_GB2312" w:cs="仿宋_GB2312"/>
          <w:b/>
          <w:bCs/>
          <w:color w:val="auto"/>
          <w:sz w:val="32"/>
          <w:szCs w:val="32"/>
        </w:rPr>
        <w:t>（仲宫）不罚决字〔2025〕10099号</w:t>
      </w:r>
      <w:r>
        <w:rPr>
          <w:rFonts w:hint="eastAsia" w:ascii="仿宋_GB2312" w:eastAsia="仿宋_GB2312" w:cs="仿宋_GB2312"/>
          <w:b/>
          <w:bCs/>
          <w:color w:val="auto"/>
          <w:sz w:val="32"/>
          <w:szCs w:val="32"/>
        </w:rPr>
        <w:t>《不予行政处罚决定书》</w:t>
      </w:r>
      <w:r>
        <w:rPr>
          <w:rFonts w:ascii="仿宋_GB2312" w:eastAsia="仿宋_GB2312" w:cs="仿宋_GB2312"/>
          <w:b/>
          <w:bCs/>
          <w:color w:val="auto"/>
          <w:sz w:val="32"/>
          <w:szCs w:val="32"/>
        </w:rPr>
        <w:t>。</w:t>
      </w:r>
    </w:p>
    <w:p w14:paraId="6AF8D495">
      <w:pPr>
        <w:pStyle w:val="5"/>
        <w:keepNext w:val="0"/>
        <w:keepLines w:val="0"/>
        <w:pageBreakBefore w:val="0"/>
        <w:widowControl/>
        <w:kinsoku/>
        <w:overflowPunct/>
        <w:topLinePunct w:val="0"/>
        <w:autoSpaceDE/>
        <w:autoSpaceDN/>
        <w:bidi w:val="0"/>
        <w:spacing w:beforeAutospacing="0" w:afterAutospacing="0" w:line="600" w:lineRule="exact"/>
        <w:ind w:firstLine="640" w:firstLineChars="200"/>
        <w:jc w:val="both"/>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申请人如不服本决定，可以自收到</w:t>
      </w:r>
      <w:r>
        <w:rPr>
          <w:rFonts w:hint="eastAsia" w:ascii="仿宋_GB2312" w:hAnsi="Times New Roman" w:eastAsia="仿宋_GB2312" w:cs="仿宋_GB2312"/>
          <w:color w:val="auto"/>
          <w:sz w:val="32"/>
          <w:szCs w:val="32"/>
        </w:rPr>
        <w:t>本</w:t>
      </w:r>
      <w:r>
        <w:rPr>
          <w:rFonts w:ascii="仿宋_GB2312" w:hAnsi="Times New Roman" w:eastAsia="仿宋_GB2312" w:cs="仿宋_GB2312"/>
          <w:color w:val="auto"/>
          <w:sz w:val="32"/>
          <w:szCs w:val="32"/>
        </w:rPr>
        <w:t>决定书之日起15日内，依法向人民法院提起行政诉讼。</w:t>
      </w:r>
    </w:p>
    <w:p w14:paraId="432D0408">
      <w:pPr>
        <w:pStyle w:val="5"/>
        <w:keepNext w:val="0"/>
        <w:keepLines w:val="0"/>
        <w:pageBreakBefore w:val="0"/>
        <w:widowControl/>
        <w:kinsoku/>
        <w:overflowPunct/>
        <w:topLinePunct w:val="0"/>
        <w:autoSpaceDE/>
        <w:autoSpaceDN/>
        <w:bidi w:val="0"/>
        <w:spacing w:beforeAutospacing="0" w:afterAutospacing="0" w:line="600" w:lineRule="exact"/>
        <w:ind w:firstLine="640" w:firstLineChars="200"/>
        <w:jc w:val="both"/>
        <w:textAlignment w:val="auto"/>
        <w:rPr>
          <w:rFonts w:ascii="仿宋_GB2312" w:hAnsi="Times New Roman" w:eastAsia="仿宋_GB2312" w:cs="仿宋_GB2312"/>
          <w:color w:val="auto"/>
          <w:sz w:val="32"/>
          <w:szCs w:val="32"/>
        </w:rPr>
      </w:pPr>
    </w:p>
    <w:p w14:paraId="6B397D14">
      <w:pPr>
        <w:pStyle w:val="5"/>
        <w:keepNext w:val="0"/>
        <w:keepLines w:val="0"/>
        <w:pageBreakBefore w:val="0"/>
        <w:widowControl/>
        <w:kinsoku/>
        <w:overflowPunct/>
        <w:topLinePunct w:val="0"/>
        <w:autoSpaceDE/>
        <w:autoSpaceDN/>
        <w:bidi w:val="0"/>
        <w:spacing w:beforeAutospacing="0" w:afterAutospacing="0" w:line="600" w:lineRule="exact"/>
        <w:ind w:firstLine="640" w:firstLineChars="200"/>
        <w:jc w:val="both"/>
        <w:textAlignment w:val="auto"/>
        <w:rPr>
          <w:rFonts w:ascii="仿宋_GB2312" w:hAnsi="Times New Roman" w:eastAsia="仿宋_GB2312" w:cs="仿宋_GB2312"/>
          <w:color w:val="auto"/>
          <w:sz w:val="32"/>
          <w:szCs w:val="32"/>
        </w:rPr>
      </w:pPr>
    </w:p>
    <w:p w14:paraId="6EB0D68A">
      <w:pPr>
        <w:pStyle w:val="5"/>
        <w:keepNext w:val="0"/>
        <w:keepLines w:val="0"/>
        <w:pageBreakBefore w:val="0"/>
        <w:widowControl/>
        <w:kinsoku/>
        <w:overflowPunct/>
        <w:topLinePunct w:val="0"/>
        <w:autoSpaceDE/>
        <w:autoSpaceDN/>
        <w:bidi w:val="0"/>
        <w:spacing w:beforeAutospacing="0" w:afterAutospacing="0" w:line="600" w:lineRule="exact"/>
        <w:ind w:firstLine="4160" w:firstLineChars="1300"/>
        <w:jc w:val="both"/>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济南市南部山区管理委员会</w:t>
      </w:r>
    </w:p>
    <w:p w14:paraId="2D0CB3A2">
      <w:pPr>
        <w:pStyle w:val="5"/>
        <w:keepNext w:val="0"/>
        <w:keepLines w:val="0"/>
        <w:pageBreakBefore w:val="0"/>
        <w:widowControl/>
        <w:kinsoku/>
        <w:overflowPunct/>
        <w:topLinePunct w:val="0"/>
        <w:autoSpaceDE/>
        <w:autoSpaceDN/>
        <w:bidi w:val="0"/>
        <w:spacing w:beforeAutospacing="0" w:afterAutospacing="0" w:line="600" w:lineRule="exact"/>
        <w:ind w:firstLine="4800" w:firstLineChars="1500"/>
        <w:jc w:val="both"/>
        <w:textAlignment w:val="auto"/>
        <w:rPr>
          <w:w w:val="100"/>
        </w:rPr>
      </w:pPr>
      <w:r>
        <w:rPr>
          <w:rFonts w:ascii="仿宋_GB2312" w:hAnsi="Times New Roman" w:eastAsia="仿宋_GB2312" w:cs="仿宋_GB2312"/>
          <w:color w:val="auto"/>
          <w:sz w:val="32"/>
          <w:szCs w:val="32"/>
        </w:rPr>
        <w:t>202</w:t>
      </w:r>
      <w:r>
        <w:rPr>
          <w:rFonts w:hint="eastAsia" w:ascii="仿宋_GB2312" w:hAnsi="Times New Roman" w:eastAsia="仿宋_GB2312" w:cs="仿宋_GB2312"/>
          <w:color w:val="auto"/>
          <w:sz w:val="32"/>
          <w:szCs w:val="32"/>
        </w:rPr>
        <w:t>5</w:t>
      </w:r>
      <w:r>
        <w:rPr>
          <w:rFonts w:ascii="仿宋_GB2312" w:hAnsi="Times New Roman" w:eastAsia="仿宋_GB2312" w:cs="仿宋_GB2312"/>
          <w:color w:val="auto"/>
          <w:sz w:val="32"/>
          <w:szCs w:val="32"/>
        </w:rPr>
        <w:t>年</w:t>
      </w:r>
      <w:r>
        <w:rPr>
          <w:rFonts w:hint="eastAsia" w:ascii="仿宋_GB2312" w:hAnsi="Times New Roman" w:eastAsia="仿宋_GB2312" w:cs="仿宋_GB2312"/>
          <w:color w:val="auto"/>
          <w:sz w:val="32"/>
          <w:szCs w:val="32"/>
          <w:lang w:val="en-US" w:eastAsia="zh-CN"/>
        </w:rPr>
        <w:t>9</w:t>
      </w:r>
      <w:r>
        <w:rPr>
          <w:rFonts w:ascii="仿宋_GB2312" w:hAnsi="Times New Roman" w:eastAsia="仿宋_GB2312" w:cs="仿宋_GB2312"/>
          <w:color w:val="auto"/>
          <w:sz w:val="32"/>
          <w:szCs w:val="32"/>
        </w:rPr>
        <w:t>月</w:t>
      </w:r>
      <w:r>
        <w:rPr>
          <w:rFonts w:hint="eastAsia" w:ascii="仿宋_GB2312" w:hAnsi="Times New Roman" w:eastAsia="仿宋_GB2312" w:cs="仿宋_GB2312"/>
          <w:color w:val="auto"/>
          <w:sz w:val="32"/>
          <w:szCs w:val="32"/>
          <w:lang w:val="en-US" w:eastAsia="zh-CN"/>
        </w:rPr>
        <w:t>18</w:t>
      </w:r>
      <w:r>
        <w:rPr>
          <w:rFonts w:ascii="仿宋_GB2312" w:hAnsi="Times New Roman" w:eastAsia="仿宋_GB2312" w:cs="仿宋_GB2312"/>
          <w:color w:val="auto"/>
          <w:sz w:val="32"/>
          <w:szCs w:val="32"/>
        </w:rPr>
        <w:t>日</w:t>
      </w:r>
    </w:p>
    <w:p w14:paraId="5AC9E75A">
      <w:pPr>
        <w:keepNext w:val="0"/>
        <w:keepLines w:val="0"/>
        <w:pageBreakBefore w:val="0"/>
        <w:kinsoku/>
        <w:overflowPunct/>
        <w:topLinePunct w:val="0"/>
        <w:autoSpaceDE/>
        <w:autoSpaceDN/>
        <w:bidi w:val="0"/>
        <w:spacing w:line="600" w:lineRule="exact"/>
        <w:textAlignment w:val="auto"/>
        <w:rPr>
          <w:color w:val="0000FF"/>
        </w:rPr>
      </w:pPr>
    </w:p>
    <w:p w14:paraId="6B218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600" w:lineRule="exact"/>
        <w:ind w:left="0" w:right="0"/>
        <w:jc w:val="left"/>
        <w:textAlignment w:val="auto"/>
        <w:rPr>
          <w:w w:val="100"/>
        </w:rPr>
      </w:pP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24B795-51E6-4324-941C-15910789D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E6BC07C-6A49-48C0-8240-CD9C2E702E0E}"/>
  </w:font>
  <w:font w:name="仿宋">
    <w:panose1 w:val="02010609060101010101"/>
    <w:charset w:val="86"/>
    <w:family w:val="auto"/>
    <w:pitch w:val="default"/>
    <w:sig w:usb0="800002BF" w:usb1="38CF7CFA" w:usb2="00000016" w:usb3="00000000" w:csb0="00040001" w:csb1="00000000"/>
    <w:embedRegular r:id="rId3" w:fontKey="{493C5D2C-EE61-4680-A94F-B64CDA14ED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D9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4E63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F4E63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RiY2FkMWJkM2RlNDlkNWMxMjVlNTAzOWE5ZDcifQ=="/>
  </w:docVars>
  <w:rsids>
    <w:rsidRoot w:val="00000000"/>
    <w:rsid w:val="013656F7"/>
    <w:rsid w:val="02111B48"/>
    <w:rsid w:val="062034C1"/>
    <w:rsid w:val="07A73E22"/>
    <w:rsid w:val="0A054A20"/>
    <w:rsid w:val="0DB31D06"/>
    <w:rsid w:val="0E4635AA"/>
    <w:rsid w:val="0FDFBC62"/>
    <w:rsid w:val="0FFA82D2"/>
    <w:rsid w:val="104E66AF"/>
    <w:rsid w:val="10F613F4"/>
    <w:rsid w:val="112B0A57"/>
    <w:rsid w:val="12C7600E"/>
    <w:rsid w:val="12E34E3B"/>
    <w:rsid w:val="13374174"/>
    <w:rsid w:val="14074B59"/>
    <w:rsid w:val="15804BC3"/>
    <w:rsid w:val="17DB74B5"/>
    <w:rsid w:val="1BAA0BEC"/>
    <w:rsid w:val="1BC7354C"/>
    <w:rsid w:val="1E57436E"/>
    <w:rsid w:val="20EF35FE"/>
    <w:rsid w:val="232F19D7"/>
    <w:rsid w:val="2A701253"/>
    <w:rsid w:val="2DEDDF8D"/>
    <w:rsid w:val="2EB07FFF"/>
    <w:rsid w:val="2F1F7D07"/>
    <w:rsid w:val="2FAA12AE"/>
    <w:rsid w:val="32096F6B"/>
    <w:rsid w:val="3225581D"/>
    <w:rsid w:val="371B42F4"/>
    <w:rsid w:val="377A7460"/>
    <w:rsid w:val="3991089E"/>
    <w:rsid w:val="39DB10EC"/>
    <w:rsid w:val="3B277C09"/>
    <w:rsid w:val="3B783AC3"/>
    <w:rsid w:val="3CFF8DC2"/>
    <w:rsid w:val="3DF72CFA"/>
    <w:rsid w:val="3DFD5266"/>
    <w:rsid w:val="3EF77971"/>
    <w:rsid w:val="3EFF76AA"/>
    <w:rsid w:val="41D40880"/>
    <w:rsid w:val="437F16F7"/>
    <w:rsid w:val="47FF4DE8"/>
    <w:rsid w:val="492F528F"/>
    <w:rsid w:val="49BA174B"/>
    <w:rsid w:val="49BD7AB1"/>
    <w:rsid w:val="4B0A1D4E"/>
    <w:rsid w:val="4C9A47F0"/>
    <w:rsid w:val="4F779730"/>
    <w:rsid w:val="5167505A"/>
    <w:rsid w:val="544E2B08"/>
    <w:rsid w:val="55E414EF"/>
    <w:rsid w:val="55FA2598"/>
    <w:rsid w:val="59DFBBB9"/>
    <w:rsid w:val="5BA2745D"/>
    <w:rsid w:val="5D87405D"/>
    <w:rsid w:val="5E113BD7"/>
    <w:rsid w:val="5E982B36"/>
    <w:rsid w:val="5F67BAE2"/>
    <w:rsid w:val="64FF3B6E"/>
    <w:rsid w:val="65EC3F7E"/>
    <w:rsid w:val="66B50838"/>
    <w:rsid w:val="66BF6C81"/>
    <w:rsid w:val="67BC2E06"/>
    <w:rsid w:val="67FD4296"/>
    <w:rsid w:val="695B21AB"/>
    <w:rsid w:val="6B5E5F82"/>
    <w:rsid w:val="6CD15615"/>
    <w:rsid w:val="6EFE135B"/>
    <w:rsid w:val="70F516F4"/>
    <w:rsid w:val="70FDAEF9"/>
    <w:rsid w:val="729BB1EA"/>
    <w:rsid w:val="75897CC2"/>
    <w:rsid w:val="760337F1"/>
    <w:rsid w:val="76EEAA0C"/>
    <w:rsid w:val="77DF2213"/>
    <w:rsid w:val="77F3F1A6"/>
    <w:rsid w:val="78C366F7"/>
    <w:rsid w:val="78CF57FF"/>
    <w:rsid w:val="78E14002"/>
    <w:rsid w:val="79BB6B4A"/>
    <w:rsid w:val="7AFEE68F"/>
    <w:rsid w:val="7B5F4C3F"/>
    <w:rsid w:val="7B735A7A"/>
    <w:rsid w:val="7BE334A4"/>
    <w:rsid w:val="7CD767B8"/>
    <w:rsid w:val="7D996361"/>
    <w:rsid w:val="7DFE1F04"/>
    <w:rsid w:val="7E9FC772"/>
    <w:rsid w:val="7EFD929E"/>
    <w:rsid w:val="7EFECC1F"/>
    <w:rsid w:val="7F2E05A1"/>
    <w:rsid w:val="7F324B64"/>
    <w:rsid w:val="7FBDAE6D"/>
    <w:rsid w:val="7FBF571A"/>
    <w:rsid w:val="7FDB1AEF"/>
    <w:rsid w:val="7FEEB918"/>
    <w:rsid w:val="7FEFFAA0"/>
    <w:rsid w:val="7FFB0565"/>
    <w:rsid w:val="7FFF5343"/>
    <w:rsid w:val="A36BE39C"/>
    <w:rsid w:val="A5FE07E6"/>
    <w:rsid w:val="A6728D30"/>
    <w:rsid w:val="A7DBDFF7"/>
    <w:rsid w:val="AFF99150"/>
    <w:rsid w:val="B9FF0533"/>
    <w:rsid w:val="BBFD9F3E"/>
    <w:rsid w:val="BD6F6DAA"/>
    <w:rsid w:val="BF7DABF7"/>
    <w:rsid w:val="BFAF1888"/>
    <w:rsid w:val="BFDE0A40"/>
    <w:rsid w:val="CBFF7B28"/>
    <w:rsid w:val="CC26B60D"/>
    <w:rsid w:val="CCDACD29"/>
    <w:rsid w:val="D97DB7E7"/>
    <w:rsid w:val="DBBB50A6"/>
    <w:rsid w:val="DCFCDC30"/>
    <w:rsid w:val="DF591F81"/>
    <w:rsid w:val="E6CBFB57"/>
    <w:rsid w:val="E7DFFAFD"/>
    <w:rsid w:val="F2D3104E"/>
    <w:rsid w:val="F677B3A9"/>
    <w:rsid w:val="F7F3B0E8"/>
    <w:rsid w:val="F93FB11F"/>
    <w:rsid w:val="F97D6959"/>
    <w:rsid w:val="FA3F007F"/>
    <w:rsid w:val="FA9ED2BD"/>
    <w:rsid w:val="FCD149E4"/>
    <w:rsid w:val="FE7B9042"/>
    <w:rsid w:val="FEB7C287"/>
    <w:rsid w:val="FEB96D58"/>
    <w:rsid w:val="FED32AE6"/>
    <w:rsid w:val="FF871C19"/>
    <w:rsid w:val="FFC5BE78"/>
    <w:rsid w:val="FFCFE0FF"/>
    <w:rsid w:val="FFD95CC8"/>
    <w:rsid w:val="FFDE5331"/>
    <w:rsid w:val="FFED3E47"/>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3107</Words>
  <Characters>3257</Characters>
  <Lines>0</Lines>
  <Paragraphs>0</Paragraphs>
  <TotalTime>22</TotalTime>
  <ScaleCrop>false</ScaleCrop>
  <LinksUpToDate>false</LinksUpToDate>
  <CharactersWithSpaces>3257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2024-11-25T15:03:00Z</dcterms:created>
  <dc:creator>HP</dc:creator>
  <cp:lastModifiedBy>Bei贝</cp:lastModifiedBy>
  <dcterms:modified xsi:type="dcterms:W3CDTF">2026-01-09T02:05:45Z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ABA6820B17E64012A3560A5FEF3666E3_13</vt:lpwstr>
  </property>
  <property fmtid="{D5CDD505-2E9C-101B-9397-08002B2CF9AE}" pid="4" name="KSOTemplateDocerSaveRecord">
    <vt:lpwstr>eyJoZGlkIjoiZTBiYzAyNTViNWQ2NzBiOWU4ZTQ2MmRhNTU3ODg2NjQiLCJ1c2VySWQiOiI0MjQ4ODQ0ODkifQ==</vt:lpwstr>
  </property>
</Properties>
</file>