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CC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济南市南部山区管理委员会</w:t>
      </w:r>
    </w:p>
    <w:p w14:paraId="219336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行政复议决定书</w:t>
      </w:r>
    </w:p>
    <w:p w14:paraId="35966D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楷体_GB2312" w:hAnsi="楷体_GB2312" w:eastAsia="楷体_GB2312" w:cs="楷体_GB2312"/>
          <w:color w:val="000000" w:themeColor="text1"/>
          <w:w w:val="100"/>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w w:val="100"/>
          <w:sz w:val="32"/>
          <w:szCs w:val="32"/>
          <w:highlight w:val="none"/>
          <w:lang w:val="en-US" w:eastAsia="zh-CN"/>
          <w14:textFill>
            <w14:solidFill>
              <w14:schemeClr w14:val="tx1"/>
            </w14:solidFill>
          </w14:textFill>
        </w:rPr>
        <w:t>济南山复决字〔2025〕31号</w:t>
      </w:r>
    </w:p>
    <w:p w14:paraId="53C570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both"/>
        <w:textAlignment w:val="auto"/>
        <w:rPr>
          <w:rFonts w:ascii="黑体" w:hAnsi="宋体" w:eastAsia="黑体" w:cs="黑体"/>
          <w:color w:val="000000" w:themeColor="text1"/>
          <w:w w:val="100"/>
          <w:sz w:val="32"/>
          <w:szCs w:val="32"/>
          <w14:textFill>
            <w14:solidFill>
              <w14:schemeClr w14:val="tx1"/>
            </w14:solidFill>
          </w14:textFill>
        </w:rPr>
      </w:pPr>
    </w:p>
    <w:p w14:paraId="623DA6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ascii="黑体" w:hAnsi="宋体" w:eastAsia="黑体" w:cs="黑体"/>
          <w:b w:val="0"/>
          <w:bCs w:val="0"/>
          <w:color w:val="000000" w:themeColor="text1"/>
          <w:w w:val="100"/>
          <w:sz w:val="32"/>
          <w:szCs w:val="32"/>
          <w14:textFill>
            <w14:solidFill>
              <w14:schemeClr w14:val="tx1"/>
            </w14:solidFill>
          </w14:textFill>
        </w:rPr>
        <w:t>申请人</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韩某某。</w:t>
      </w:r>
    </w:p>
    <w:p w14:paraId="7F99FF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被申请人</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济南市公安局南部山区分局。</w:t>
      </w:r>
    </w:p>
    <w:p w14:paraId="1C77B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申请人对被申请人未履行法定职责的行为不服，</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向本机关提出复议申请，本机关于202</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9</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月</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t>日依法受理，行政复议期间，依法听取当事人意见，本案现已审理结案。</w:t>
      </w:r>
    </w:p>
    <w:p w14:paraId="6F04A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themeColor="text1"/>
          <w:w w:val="100"/>
          <w:sz w:val="32"/>
          <w:szCs w:val="32"/>
          <w:lang w:val="en-US"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申请人行政复议请求</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申请确认被申请人未履行法定职责的行为违法，并责令被申请人限期内依法履行查处职责，将查处情况书面答复申请人。</w:t>
      </w:r>
    </w:p>
    <w:p w14:paraId="05701993">
      <w:pPr>
        <w:keepNext w:val="0"/>
        <w:keepLines w:val="0"/>
        <w:pageBreakBefore w:val="0"/>
        <w:kinsoku/>
        <w:wordWrap w:val="0"/>
        <w:overflowPunct/>
        <w:topLinePunct w:val="0"/>
        <w:autoSpaceDE/>
        <w:autoSpaceDN/>
        <w:bidi w:val="0"/>
        <w:snapToGrid w:val="0"/>
        <w:spacing w:line="560" w:lineRule="exact"/>
        <w:ind w:left="0" w:right="0" w:firstLine="627" w:firstLineChars="196"/>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申请人称</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系山东省济南市历城区仲宫镇***村村民，在本村拥有合法的房屋及土地。2021年5月期间，申请人的部分房屋被不明人员强制拆除，该行为严重侵犯申请人的合法权益。为维护自身合法权益，申请人于2025年5月13日通过中国邮政EMS向被申请人提交书面查处申请书及附件，请求被申请人依法对申请人位于山东省济南市历城区仲宫镇***村的部分房屋被不明人员非法拆除的行为进行调查处理，并将查处结果书面答复申请人。经查询，被申请人于2025年5月14日签收，截至目前被申请人仍未依法履行查处职责，也未将查处结果书面告知申请人。根据《中华人民共和国警察法》第二条：“人民警察的任务是维护国家安全，维护社会治安秩序，保护公民的人身安全、人身自由和合法财产，保护公共财产，预防、制止和惩治违法犯罪活动。”第六条：“公安机关的人民警察按照职责分工，依法履行下列职责：（一）预防、制止和侦查违法犯罪活动；（二）维护社会治安秩序，制止危害社会治安秩序的行为……”第二十一条：“人民警察遇到公民人身：财产安全受到侵犯或者处于其他危难情形，应当立即救助：对公民提出解决纠纷的要求，应当给予帮助；对公民的报警案件，应当及时查处。”《治安管理处罚法》第二条：“扰乱公共秩序，妨害公共安全侵犯人身权利、财产权利，妨害社会管理，具有社会危害性，依照《中华人民共和国刑法》的规定构成犯罪的，依法追究刑事责任；尚不够刑事处罚的，由公安机关依照本法给予治安管理处罚。”之规定，被申请人负有保护公民人身安全及财产安全的法定职责，应当依法对申请人位于山东省济南市历城区仲宫镇***村的部分房屋被不明人员非法拆除的行为进行调查处理。同时根据《中华人民共和国行政复议法》第十一条：“有下列情形之一的，公民、法人或者其他组织可以依照本法申请行政复议：……（十一）申请行政机关履行保护人身权利、财产权利、受教育权利等合法权益的法定职责，行政机关拒绝履行、未依法履行或者不予答复：……”之规定，被申请人超期未履职的行为属于典型的行政不作为，已经违法且侵害了申请人的合法权益。综上所述，申请人特根据《中华人民共和国行政复议法》之规定，向贵府提起行政复议申请。望贵府在全面审查的基础上，依法支持申请人的复议请求，维护申请人的合法权益。</w:t>
      </w:r>
    </w:p>
    <w:p w14:paraId="226863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color w:val="000000" w:themeColor="text1"/>
          <w:w w:val="100"/>
          <w:sz w:val="32"/>
          <w:szCs w:val="32"/>
          <w:lang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申请人向本机关提交如下证据材料（复印件）</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p>
    <w:p w14:paraId="74E5E39E">
      <w:pPr>
        <w:keepNext w:val="0"/>
        <w:keepLines w:val="0"/>
        <w:pageBreakBefore w:val="0"/>
        <w:numPr>
          <w:ilvl w:val="0"/>
          <w:numId w:val="0"/>
        </w:numPr>
        <w:kinsoku/>
        <w:wordWrap w:val="0"/>
        <w:overflowPunct/>
        <w:topLinePunct w:val="0"/>
        <w:autoSpaceDE/>
        <w:autoSpaceDN/>
        <w:bidi w:val="0"/>
        <w:snapToGrid w:val="0"/>
        <w:spacing w:line="560" w:lineRule="exact"/>
        <w:ind w:left="0" w:leftChars="0" w:right="0" w:rightChars="0" w:firstLine="627" w:firstLineChars="196"/>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《查处申请书》及邮寄照片；</w:t>
      </w:r>
    </w:p>
    <w:p w14:paraId="53FE7D0F">
      <w:pPr>
        <w:keepNext w:val="0"/>
        <w:keepLines w:val="0"/>
        <w:pageBreakBefore w:val="0"/>
        <w:numPr>
          <w:ilvl w:val="0"/>
          <w:numId w:val="0"/>
        </w:numPr>
        <w:kinsoku/>
        <w:wordWrap w:val="0"/>
        <w:overflowPunct/>
        <w:topLinePunct w:val="0"/>
        <w:autoSpaceDE/>
        <w:autoSpaceDN/>
        <w:bidi w:val="0"/>
        <w:snapToGrid w:val="0"/>
        <w:spacing w:line="560" w:lineRule="exact"/>
        <w:ind w:left="0" w:leftChars="0" w:right="0" w:rightChars="0" w:firstLine="627" w:firstLineChars="196"/>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2.邮寄信息。</w:t>
      </w:r>
    </w:p>
    <w:p w14:paraId="427FBB7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被申请人答复称</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韩某永、韩某强三人系父子关系（申请人系韩某永、韩某强的父亲），三人共同反映自己家的房屋在2021年被仲宫街道办事处103省道拆迁指挥部拆除，但是村委未按照相关拆迁补偿政策进行合理补偿。经调查查明：申请人、韩某永、韩某强父子三人反映的自己房屋被不明人员强拆的查处事项，是政府的行政行为，公安机关已经分别当面向申请人的妻子答复，电话向申请人答复，在答复的过程中当事人均表示明白并认可公安机关的答复，不存在公安机关不作为的情况。2024年11月14日，申请人到公安机关信访要求查处涉及房屋拆迁赔偿事宜，同日，南山分局副局长接待申请人，并听取了申请人的信访事由，并在查处申请书上签批“请仲宫所依法受理调查”，并依法告知仲宫派出所按照信访事项的法定程序办理，依法向申请人进行信访告知，告知书编号为“济南山公信字[2024]46号”送达方式为邮寄送达，邮寄时间为2024年11月15日，收件人为申请人；经调查，申请人反映的情况是仲宫办事处按照政府的红头文件济历城仲发（2021）50号文（附后）的规定事项进行的政府拆迁行为，不属于公安机关的管辖范围，2024年11月14日左右，仲宫派出所民警第一次与信访人（申请人）取得联系，申请人称自己在外地上班工作，由自己的妻子反映自己的诉求。2024年11月15日，副所长带领民警、信访帮办员与申请人妻子在仲宫派出所信访接待室见面，当面告知申请人妻子其反映的问题系政府行政行为不属于公安机关的管辖范围之内，并告知相关救济途径。申请人妻子表示自己会和家人通过合法途径反映自己的问题，自己已经知道反映的诉求不在公安机关管辖范围之内，不需要公安机关继续处理自己诉求。2025年5月16日，申请人父子三人再次到分局以同样事由信访，南山分局副局长接访并作出批示：“请仲宫所发挥帮办员机制，做好当事人跟进沟通工作，同步做好稳控”，2025年5月22日，南山分局信访部门依法履行告知程序，并向申请人父子三人邮寄送达告知书，邮寄单号为：XA8736531****，收件人是申请人；仲宫派出所按照信访事项办理程序依法对该案进行调查核实，经核实，信访人反映诉求系政府的拆迁行为，公安机关无权管辖，后仲宫派出所副所长于2025年6月23日16时32分与诉求人（申请人）进行通话，在通话中希望与申请人进行见面了解其信访诉求，但申请人称自己在外地上班无法见面。仲宫派出所副所长在通话中明确告知申请人反映的****村的部分房屋被不明人员非法拆除的行为系政府行政行为不属于公安机关管辖，且根据公安机关掌握的情况申请人三人已经就政府部门的相关拆迁行为向法院提请行政诉讼。申请人表示自己和家人认可，并表示以后会通过行政诉讼反映的自己的诉求。综上所述，请求济南市南部山区管理委员依法驳回申请人的申请。</w:t>
      </w:r>
    </w:p>
    <w:p w14:paraId="4CFD85A0">
      <w:pPr>
        <w:keepNext w:val="0"/>
        <w:keepLines w:val="0"/>
        <w:pageBreakBefore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eastAsia="黑体"/>
          <w:b w:val="0"/>
          <w:bCs w:val="0"/>
          <w:color w:val="000000" w:themeColor="text1"/>
          <w:w w:val="100"/>
          <w:lang w:eastAsia="zh-CN"/>
          <w14:textFill>
            <w14:solidFill>
              <w14:schemeClr w14:val="tx1"/>
            </w14:solidFill>
          </w14:textFill>
        </w:rPr>
      </w:pPr>
      <w:r>
        <w:rPr>
          <w:rFonts w:hint="eastAsia" w:ascii="黑体" w:hAnsi="宋体" w:eastAsia="黑体" w:cs="黑体"/>
          <w:b w:val="0"/>
          <w:bCs w:val="0"/>
          <w:color w:val="000000" w:themeColor="text1"/>
          <w:w w:val="100"/>
          <w:sz w:val="32"/>
          <w:szCs w:val="32"/>
          <w14:textFill>
            <w14:solidFill>
              <w14:schemeClr w14:val="tx1"/>
            </w14:solidFill>
          </w14:textFill>
        </w:rPr>
        <w:t>被申请人向本机关提交如下证据材料（复印件）</w:t>
      </w:r>
      <w:r>
        <w:rPr>
          <w:rFonts w:hint="eastAsia" w:ascii="黑体" w:hAnsi="宋体" w:eastAsia="黑体" w:cs="黑体"/>
          <w:b w:val="0"/>
          <w:bCs w:val="0"/>
          <w:color w:val="000000" w:themeColor="text1"/>
          <w:w w:val="100"/>
          <w:sz w:val="32"/>
          <w:szCs w:val="32"/>
          <w:lang w:eastAsia="zh-CN"/>
          <w14:textFill>
            <w14:solidFill>
              <w14:schemeClr w14:val="tx1"/>
            </w14:solidFill>
          </w14:textFill>
        </w:rPr>
        <w:t>：</w:t>
      </w:r>
    </w:p>
    <w:p w14:paraId="7BF72B2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1.查处申请书；</w:t>
      </w:r>
    </w:p>
    <w:p w14:paraId="4AEDCB4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信访事项接收情况登记表；</w:t>
      </w:r>
    </w:p>
    <w:p w14:paraId="60C642C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专门程序处理告知书；</w:t>
      </w:r>
    </w:p>
    <w:p w14:paraId="4F2702A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4</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.送达回证；</w:t>
      </w:r>
    </w:p>
    <w:p w14:paraId="3124EEE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5.查处申请书（申请人）；</w:t>
      </w:r>
    </w:p>
    <w:p w14:paraId="462BA43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6</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查处申请书（韩某强）；</w:t>
      </w:r>
    </w:p>
    <w:p w14:paraId="42BDCA9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7.</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查处申请书（韩某永）；</w:t>
      </w:r>
    </w:p>
    <w:p w14:paraId="053D65A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8.</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信访事项接收情况登记表；</w:t>
      </w:r>
    </w:p>
    <w:p w14:paraId="32580E4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9.专门程序处理告知书；</w:t>
      </w:r>
    </w:p>
    <w:p w14:paraId="70E5BD9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10.送达回证；</w:t>
      </w:r>
    </w:p>
    <w:p w14:paraId="05C926B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11.信访事项办结报告；</w:t>
      </w:r>
    </w:p>
    <w:p w14:paraId="6FB2690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12.信访事项化解报告；</w:t>
      </w:r>
    </w:p>
    <w:p w14:paraId="32EDBC5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13.自述材料；</w:t>
      </w:r>
    </w:p>
    <w:p w14:paraId="67F96D0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14.通话记录；</w:t>
      </w:r>
    </w:p>
    <w:p w14:paraId="37A99F7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15.调取证据材料；</w:t>
      </w:r>
    </w:p>
    <w:p w14:paraId="5E6E39F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16.视听资料。</w:t>
      </w:r>
    </w:p>
    <w:p w14:paraId="4F9B8B2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黑体" w:hAnsi="宋体" w:eastAsia="黑体" w:cs="黑体"/>
          <w:b w:val="0"/>
          <w:bCs w:val="0"/>
          <w:color w:val="000000" w:themeColor="text1"/>
          <w:sz w:val="32"/>
          <w:szCs w:val="32"/>
          <w:lang w:eastAsia="zh-CN"/>
          <w14:textFill>
            <w14:solidFill>
              <w14:schemeClr w14:val="tx1"/>
            </w14:solidFill>
          </w14:textFill>
        </w:rPr>
      </w:pPr>
      <w:r>
        <w:rPr>
          <w:rFonts w:hint="eastAsia" w:ascii="黑体" w:hAnsi="宋体" w:eastAsia="黑体" w:cs="黑体"/>
          <w:b w:val="0"/>
          <w:bCs w:val="0"/>
          <w:color w:val="000000" w:themeColor="text1"/>
          <w:sz w:val="32"/>
          <w:szCs w:val="32"/>
          <w:lang w:eastAsia="zh-CN"/>
          <w14:textFill>
            <w14:solidFill>
              <w14:schemeClr w14:val="tx1"/>
            </w14:solidFill>
          </w14:textFill>
        </w:rPr>
        <w:t>本机关依法向济南市历城区人民政府仲宫街道办事处调取如下证据（复印件）：</w:t>
      </w:r>
    </w:p>
    <w:p w14:paraId="5520D52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1.情况说明；</w:t>
      </w:r>
    </w:p>
    <w:p w14:paraId="64D2EC2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2.ZG-XBDK-Z-036韩某永房屋征收拆迁资料；</w:t>
      </w:r>
    </w:p>
    <w:p w14:paraId="2265200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3.韩某永房屋其地上物测绘摸排登记有关资料；</w:t>
      </w:r>
    </w:p>
    <w:p w14:paraId="2E49920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4.S103济枣线用地批复；</w:t>
      </w:r>
    </w:p>
    <w:p w14:paraId="2C3B4F1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5.</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项目建议书的批复（鲁发改基础【2020】422号）</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p>
    <w:p w14:paraId="35C96B3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6.***</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村征收启动公告</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w:t>
      </w:r>
    </w:p>
    <w:p w14:paraId="26079E8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7.***村拟征收土地补偿安置公告；</w:t>
      </w:r>
    </w:p>
    <w:p w14:paraId="0792041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8.S103济枣线旅游公路项目集体土地征地拆迁补偿安置实施方案；</w:t>
      </w:r>
    </w:p>
    <w:p w14:paraId="72161E4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9.S103拆迁安置补充方案；</w:t>
      </w:r>
    </w:p>
    <w:p w14:paraId="0B5C5D6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10.</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（2025）鲁0112行初23号</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案件有关材料；</w:t>
      </w:r>
    </w:p>
    <w:p w14:paraId="76C71DF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11.征地范围图；</w:t>
      </w:r>
    </w:p>
    <w:p w14:paraId="070011C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12.图斑资料图。</w:t>
      </w:r>
    </w:p>
    <w:p w14:paraId="78CF609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sz w:val="32"/>
          <w:szCs w:val="32"/>
          <w14:textFill>
            <w14:solidFill>
              <w14:schemeClr w14:val="tx1"/>
            </w14:solidFill>
          </w14:textFill>
        </w:rPr>
        <w:t>本机关经审查查明</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2024年11月14日，申请人向被申请人提交《查处申请书》，要求公安机关查处案涉房屋被非法拆除行为，被申请人根据《信访工作条例》于2024年11月14日向申请人作出《专门程序处理告知书》，2024年11月15日，仲宫派出所与申请人妻子见面沟通，当面告知申请人申请查处事项系政府征收拆迁行为，不属于公安机关管辖范围。2025年5月13日，申请人及其子韩某强、韩某永就同一事项再次向被申请人提交《查处申请书》，被申请人于2025年5月22日向申请人作出《专门程序处理告知书》，2025年6月23日，仲宫派出所与申请人电话沟通，告知申请人申请查处事项系政府征收拆迁行为，不属于公安机关管辖范围。</w:t>
      </w:r>
    </w:p>
    <w:p w14:paraId="58D3C68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sz w:val="32"/>
          <w:szCs w:val="32"/>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另查明，申请人及其子韩某强、韩某永位于济南市历城区仲宫街道***村的房屋在S103济枣线旅游公路项目征收范围内。</w:t>
      </w:r>
      <w:r>
        <w:rPr>
          <w:rFonts w:hint="eastAsia" w:ascii="仿宋" w:hAnsi="仿宋" w:eastAsia="仿宋"/>
          <w:sz w:val="32"/>
          <w:szCs w:val="32"/>
        </w:rPr>
        <w:t>2021年7月23日</w:t>
      </w:r>
      <w:r>
        <w:rPr>
          <w:rFonts w:hint="eastAsia" w:ascii="仿宋" w:hAnsi="仿宋" w:eastAsia="仿宋"/>
          <w:sz w:val="32"/>
          <w:szCs w:val="32"/>
          <w:lang w:eastAsia="zh-CN"/>
        </w:rPr>
        <w:t>，</w:t>
      </w:r>
      <w:r>
        <w:rPr>
          <w:rFonts w:hint="eastAsia" w:ascii="仿宋" w:hAnsi="仿宋" w:eastAsia="仿宋"/>
          <w:sz w:val="32"/>
          <w:szCs w:val="32"/>
          <w:lang w:val="en-US" w:eastAsia="zh-CN"/>
        </w:rPr>
        <w:t>申请人</w:t>
      </w:r>
      <w:r>
        <w:rPr>
          <w:rFonts w:hint="eastAsia" w:ascii="仿宋" w:hAnsi="仿宋" w:eastAsia="仿宋"/>
          <w:sz w:val="32"/>
          <w:szCs w:val="32"/>
        </w:rPr>
        <w:t>、韩</w:t>
      </w:r>
      <w:r>
        <w:rPr>
          <w:rFonts w:hint="eastAsia" w:ascii="仿宋" w:hAnsi="仿宋" w:eastAsia="仿宋"/>
          <w:sz w:val="32"/>
          <w:szCs w:val="32"/>
          <w:lang w:eastAsia="zh-CN"/>
        </w:rPr>
        <w:t>某</w:t>
      </w:r>
      <w:r>
        <w:rPr>
          <w:rFonts w:hint="eastAsia" w:ascii="仿宋" w:hAnsi="仿宋" w:eastAsia="仿宋"/>
          <w:sz w:val="32"/>
          <w:szCs w:val="32"/>
        </w:rPr>
        <w:t>永和韩</w:t>
      </w:r>
      <w:r>
        <w:rPr>
          <w:rFonts w:hint="eastAsia" w:ascii="仿宋" w:hAnsi="仿宋" w:eastAsia="仿宋"/>
          <w:sz w:val="32"/>
          <w:szCs w:val="32"/>
          <w:lang w:eastAsia="zh-CN"/>
        </w:rPr>
        <w:t>某</w:t>
      </w:r>
      <w:r>
        <w:rPr>
          <w:rFonts w:hint="eastAsia" w:ascii="仿宋" w:hAnsi="仿宋" w:eastAsia="仿宋"/>
          <w:sz w:val="32"/>
          <w:szCs w:val="32"/>
        </w:rPr>
        <w:t>强三户所有家庭成员共同委托韩</w:t>
      </w:r>
      <w:r>
        <w:rPr>
          <w:rFonts w:hint="eastAsia" w:ascii="仿宋" w:hAnsi="仿宋" w:eastAsia="仿宋"/>
          <w:sz w:val="32"/>
          <w:szCs w:val="32"/>
          <w:lang w:eastAsia="zh-CN"/>
        </w:rPr>
        <w:t>某</w:t>
      </w:r>
      <w:r>
        <w:rPr>
          <w:rFonts w:hint="eastAsia" w:ascii="仿宋" w:hAnsi="仿宋" w:eastAsia="仿宋"/>
          <w:sz w:val="32"/>
          <w:szCs w:val="32"/>
        </w:rPr>
        <w:t>永</w:t>
      </w:r>
      <w:r>
        <w:rPr>
          <w:rFonts w:hint="eastAsia" w:ascii="仿宋" w:hAnsi="仿宋" w:eastAsia="仿宋"/>
          <w:sz w:val="32"/>
          <w:szCs w:val="32"/>
          <w:lang w:eastAsia="zh-CN"/>
        </w:rPr>
        <w:t>全权办置拆迁补偿事宜，</w:t>
      </w:r>
      <w:r>
        <w:rPr>
          <w:rFonts w:hint="eastAsia" w:ascii="仿宋" w:hAnsi="仿宋" w:eastAsia="仿宋"/>
          <w:sz w:val="32"/>
          <w:szCs w:val="32"/>
        </w:rPr>
        <w:t>韩</w:t>
      </w:r>
      <w:r>
        <w:rPr>
          <w:rFonts w:hint="eastAsia" w:ascii="仿宋" w:hAnsi="仿宋" w:eastAsia="仿宋"/>
          <w:sz w:val="32"/>
          <w:szCs w:val="32"/>
          <w:lang w:eastAsia="zh-CN"/>
        </w:rPr>
        <w:t>某</w:t>
      </w:r>
      <w:r>
        <w:rPr>
          <w:rFonts w:hint="eastAsia" w:ascii="仿宋" w:hAnsi="仿宋" w:eastAsia="仿宋"/>
          <w:sz w:val="32"/>
          <w:szCs w:val="32"/>
        </w:rPr>
        <w:t>永与</w:t>
      </w:r>
      <w:r>
        <w:rPr>
          <w:rFonts w:hint="eastAsia" w:ascii="仿宋" w:hAnsi="仿宋" w:eastAsia="仿宋"/>
          <w:sz w:val="32"/>
          <w:szCs w:val="32"/>
          <w:lang w:eastAsia="zh-CN"/>
        </w:rPr>
        <w:t>济南市历城区人民政府</w:t>
      </w:r>
      <w:r>
        <w:rPr>
          <w:rFonts w:hint="eastAsia" w:ascii="仿宋" w:hAnsi="仿宋" w:eastAsia="仿宋"/>
          <w:sz w:val="32"/>
          <w:szCs w:val="32"/>
        </w:rPr>
        <w:t>仲宫街道</w:t>
      </w:r>
      <w:r>
        <w:rPr>
          <w:rFonts w:hint="eastAsia" w:ascii="仿宋" w:hAnsi="仿宋" w:eastAsia="仿宋"/>
          <w:sz w:val="32"/>
          <w:szCs w:val="32"/>
          <w:lang w:eastAsia="zh-CN"/>
        </w:rPr>
        <w:t>办事处</w:t>
      </w:r>
      <w:r>
        <w:rPr>
          <w:rFonts w:hint="eastAsia" w:ascii="仿宋" w:hAnsi="仿宋" w:eastAsia="仿宋"/>
          <w:sz w:val="32"/>
          <w:szCs w:val="32"/>
        </w:rPr>
        <w:t>S103项目指挥部、</w:t>
      </w:r>
      <w:r>
        <w:rPr>
          <w:rFonts w:hint="eastAsia" w:ascii="仿宋" w:hAnsi="仿宋" w:eastAsia="仿宋"/>
          <w:sz w:val="32"/>
          <w:szCs w:val="32"/>
          <w:lang w:val="en-US" w:eastAsia="zh-CN"/>
        </w:rPr>
        <w:t>***</w:t>
      </w:r>
      <w:r>
        <w:rPr>
          <w:rFonts w:hint="eastAsia" w:ascii="仿宋" w:hAnsi="仿宋" w:eastAsia="仿宋"/>
          <w:sz w:val="32"/>
          <w:szCs w:val="32"/>
        </w:rPr>
        <w:t>村民委员会签订《S103济枣线旅游公路（南部山区段）集体土地地上附着物拆迁补偿协议》。2021年8月18日</w:t>
      </w:r>
      <w:r>
        <w:rPr>
          <w:rFonts w:hint="eastAsia" w:ascii="仿宋" w:hAnsi="仿宋" w:eastAsia="仿宋"/>
          <w:sz w:val="32"/>
          <w:szCs w:val="32"/>
          <w:lang w:eastAsia="zh-CN"/>
        </w:rPr>
        <w:t>，</w:t>
      </w:r>
      <w:r>
        <w:rPr>
          <w:rFonts w:hint="eastAsia" w:ascii="仿宋" w:hAnsi="仿宋" w:eastAsia="仿宋"/>
          <w:sz w:val="32"/>
          <w:szCs w:val="32"/>
        </w:rPr>
        <w:t>韩</w:t>
      </w:r>
      <w:r>
        <w:rPr>
          <w:rFonts w:hint="eastAsia" w:ascii="仿宋" w:hAnsi="仿宋" w:eastAsia="仿宋"/>
          <w:sz w:val="32"/>
          <w:szCs w:val="32"/>
          <w:lang w:eastAsia="zh-CN"/>
        </w:rPr>
        <w:t>某</w:t>
      </w:r>
      <w:r>
        <w:rPr>
          <w:rFonts w:hint="eastAsia" w:ascii="仿宋" w:hAnsi="仿宋" w:eastAsia="仿宋"/>
          <w:sz w:val="32"/>
          <w:szCs w:val="32"/>
        </w:rPr>
        <w:t>永将房屋移交给</w:t>
      </w:r>
      <w:r>
        <w:rPr>
          <w:rFonts w:hint="eastAsia" w:ascii="仿宋" w:hAnsi="仿宋" w:eastAsia="仿宋"/>
          <w:sz w:val="32"/>
          <w:szCs w:val="32"/>
          <w:lang w:eastAsia="zh-CN"/>
        </w:rPr>
        <w:t>仲宫街道办事处</w:t>
      </w:r>
      <w:r>
        <w:rPr>
          <w:rFonts w:hint="eastAsia" w:ascii="仿宋" w:hAnsi="仿宋" w:eastAsia="仿宋"/>
          <w:sz w:val="32"/>
          <w:szCs w:val="32"/>
        </w:rPr>
        <w:t>S103项目指挥部，并签订空房验收移交单。2021年10月</w:t>
      </w:r>
      <w:r>
        <w:rPr>
          <w:rFonts w:hint="eastAsia" w:ascii="仿宋" w:hAnsi="仿宋" w:eastAsia="仿宋"/>
          <w:sz w:val="32"/>
          <w:szCs w:val="32"/>
          <w:lang w:eastAsia="zh-CN"/>
        </w:rPr>
        <w:t>，案涉</w:t>
      </w:r>
      <w:r>
        <w:rPr>
          <w:rFonts w:hint="eastAsia" w:ascii="仿宋" w:hAnsi="仿宋" w:eastAsia="仿宋"/>
          <w:sz w:val="32"/>
          <w:szCs w:val="32"/>
        </w:rPr>
        <w:t>房屋由</w:t>
      </w:r>
      <w:r>
        <w:rPr>
          <w:rFonts w:hint="eastAsia" w:ascii="仿宋" w:hAnsi="仿宋" w:eastAsia="仿宋"/>
          <w:sz w:val="32"/>
          <w:szCs w:val="32"/>
          <w:lang w:val="en-US" w:eastAsia="zh-CN"/>
        </w:rPr>
        <w:t>***</w:t>
      </w:r>
      <w:r>
        <w:rPr>
          <w:rFonts w:hint="eastAsia" w:ascii="仿宋" w:hAnsi="仿宋" w:eastAsia="仿宋"/>
          <w:sz w:val="32"/>
          <w:szCs w:val="32"/>
          <w:lang w:eastAsia="zh-CN"/>
        </w:rPr>
        <w:t>村民委员会</w:t>
      </w:r>
      <w:r>
        <w:rPr>
          <w:rFonts w:hint="eastAsia" w:ascii="仿宋" w:hAnsi="仿宋" w:eastAsia="仿宋"/>
          <w:sz w:val="32"/>
          <w:szCs w:val="32"/>
        </w:rPr>
        <w:t>和</w:t>
      </w:r>
      <w:r>
        <w:rPr>
          <w:rFonts w:hint="eastAsia" w:ascii="仿宋" w:hAnsi="仿宋" w:eastAsia="仿宋"/>
          <w:sz w:val="32"/>
          <w:szCs w:val="32"/>
          <w:lang w:eastAsia="zh-CN"/>
        </w:rPr>
        <w:t>仲宫</w:t>
      </w:r>
      <w:r>
        <w:rPr>
          <w:rFonts w:hint="eastAsia" w:ascii="仿宋" w:hAnsi="仿宋" w:eastAsia="仿宋"/>
          <w:sz w:val="32"/>
          <w:szCs w:val="32"/>
        </w:rPr>
        <w:t>街道办事处配合上级政府进行了拆除。</w:t>
      </w:r>
    </w:p>
    <w:p w14:paraId="3462153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又查明，</w:t>
      </w:r>
      <w:r>
        <w:rPr>
          <w:rFonts w:hint="eastAsia" w:ascii="仿宋" w:hAnsi="仿宋" w:eastAsia="仿宋"/>
          <w:sz w:val="32"/>
          <w:szCs w:val="32"/>
          <w:lang w:val="en-US" w:eastAsia="zh-CN"/>
        </w:rPr>
        <w:t>申请人</w:t>
      </w:r>
      <w:r>
        <w:rPr>
          <w:rFonts w:hint="eastAsia" w:ascii="仿宋" w:hAnsi="仿宋" w:eastAsia="仿宋"/>
          <w:sz w:val="32"/>
          <w:szCs w:val="32"/>
        </w:rPr>
        <w:t>、韩</w:t>
      </w:r>
      <w:r>
        <w:rPr>
          <w:rFonts w:hint="eastAsia" w:ascii="仿宋" w:hAnsi="仿宋" w:eastAsia="仿宋"/>
          <w:sz w:val="32"/>
          <w:szCs w:val="32"/>
          <w:lang w:eastAsia="zh-CN"/>
        </w:rPr>
        <w:t>某</w:t>
      </w:r>
      <w:r>
        <w:rPr>
          <w:rFonts w:hint="eastAsia" w:ascii="仿宋" w:hAnsi="仿宋" w:eastAsia="仿宋"/>
          <w:sz w:val="32"/>
          <w:szCs w:val="32"/>
        </w:rPr>
        <w:t>永、韩</w:t>
      </w:r>
      <w:r>
        <w:rPr>
          <w:rFonts w:hint="eastAsia" w:ascii="仿宋" w:hAnsi="仿宋" w:eastAsia="仿宋"/>
          <w:sz w:val="32"/>
          <w:szCs w:val="32"/>
          <w:lang w:eastAsia="zh-CN"/>
        </w:rPr>
        <w:t>某</w:t>
      </w:r>
      <w:r>
        <w:rPr>
          <w:rFonts w:hint="eastAsia" w:ascii="仿宋" w:hAnsi="仿宋" w:eastAsia="仿宋"/>
          <w:sz w:val="32"/>
          <w:szCs w:val="32"/>
        </w:rPr>
        <w:t>强</w:t>
      </w:r>
      <w:r>
        <w:rPr>
          <w:rFonts w:hint="eastAsia" w:ascii="仿宋" w:hAnsi="仿宋" w:eastAsia="仿宋"/>
          <w:sz w:val="32"/>
          <w:szCs w:val="32"/>
          <w:lang w:eastAsia="zh-CN"/>
        </w:rPr>
        <w:t>三人</w:t>
      </w:r>
      <w:r>
        <w:rPr>
          <w:rFonts w:hint="eastAsia" w:ascii="仿宋" w:hAnsi="仿宋" w:eastAsia="仿宋"/>
          <w:sz w:val="32"/>
          <w:szCs w:val="32"/>
        </w:rPr>
        <w:t>在本村</w:t>
      </w:r>
      <w:r>
        <w:rPr>
          <w:rFonts w:hint="eastAsia" w:ascii="仿宋" w:hAnsi="仿宋" w:eastAsia="仿宋"/>
          <w:sz w:val="32"/>
          <w:szCs w:val="32"/>
          <w:lang w:eastAsia="zh-CN"/>
        </w:rPr>
        <w:t>共</w:t>
      </w:r>
      <w:r>
        <w:rPr>
          <w:rFonts w:hint="eastAsia" w:ascii="仿宋" w:hAnsi="仿宋" w:eastAsia="仿宋"/>
          <w:sz w:val="32"/>
          <w:szCs w:val="32"/>
          <w:highlight w:val="none"/>
          <w:lang w:eastAsia="zh-CN"/>
        </w:rPr>
        <w:t>有</w:t>
      </w:r>
      <w:r>
        <w:rPr>
          <w:rFonts w:hint="eastAsia" w:ascii="仿宋" w:hAnsi="仿宋" w:eastAsia="仿宋"/>
          <w:sz w:val="32"/>
          <w:szCs w:val="32"/>
          <w:lang w:eastAsia="zh-CN"/>
        </w:rPr>
        <w:t>两处宅基地</w:t>
      </w:r>
      <w:r>
        <w:rPr>
          <w:rFonts w:hint="eastAsia" w:ascii="仿宋" w:hAnsi="仿宋" w:eastAsia="仿宋"/>
          <w:sz w:val="32"/>
          <w:szCs w:val="32"/>
        </w:rPr>
        <w:t>房屋</w:t>
      </w:r>
      <w:r>
        <w:rPr>
          <w:rFonts w:hint="eastAsia" w:ascii="仿宋" w:hAnsi="仿宋" w:eastAsia="仿宋"/>
          <w:sz w:val="32"/>
          <w:szCs w:val="32"/>
          <w:lang w:eastAsia="zh-CN"/>
        </w:rPr>
        <w:t>，其中一处产权人为韩某强：证号为历城集用（2013）第101217</w:t>
      </w:r>
      <w:r>
        <w:rPr>
          <w:rFonts w:hint="eastAsia" w:ascii="仿宋" w:hAnsi="仿宋" w:eastAsia="仿宋"/>
          <w:sz w:val="32"/>
          <w:szCs w:val="32"/>
          <w:lang w:val="en-US" w:eastAsia="zh-CN"/>
        </w:rPr>
        <w:t>****</w:t>
      </w:r>
      <w:r>
        <w:rPr>
          <w:rFonts w:hint="eastAsia" w:ascii="仿宋" w:hAnsi="仿宋" w:eastAsia="仿宋"/>
          <w:sz w:val="32"/>
          <w:szCs w:val="32"/>
          <w:lang w:eastAsia="zh-CN"/>
        </w:rPr>
        <w:t>号，宗地号为370112101217JC0</w:t>
      </w:r>
      <w:r>
        <w:rPr>
          <w:rFonts w:hint="eastAsia" w:ascii="仿宋" w:hAnsi="仿宋" w:eastAsia="仿宋"/>
          <w:sz w:val="32"/>
          <w:szCs w:val="32"/>
          <w:lang w:val="en-US" w:eastAsia="zh-CN"/>
        </w:rPr>
        <w:t>****</w:t>
      </w:r>
      <w:r>
        <w:rPr>
          <w:rFonts w:hint="eastAsia" w:ascii="仿宋" w:hAnsi="仿宋" w:eastAsia="仿宋"/>
          <w:sz w:val="32"/>
          <w:szCs w:val="32"/>
          <w:lang w:eastAsia="zh-CN"/>
        </w:rPr>
        <w:t>；另一处产权人为韩某永（由</w:t>
      </w:r>
      <w:r>
        <w:rPr>
          <w:rFonts w:hint="eastAsia" w:ascii="仿宋" w:hAnsi="仿宋" w:eastAsia="仿宋"/>
          <w:sz w:val="32"/>
          <w:szCs w:val="32"/>
          <w:lang w:val="en-US" w:eastAsia="zh-CN"/>
        </w:rPr>
        <w:t>申请人</w:t>
      </w:r>
      <w:r>
        <w:rPr>
          <w:rFonts w:hint="eastAsia" w:ascii="仿宋" w:hAnsi="仿宋" w:eastAsia="仿宋"/>
          <w:sz w:val="32"/>
          <w:szCs w:val="32"/>
          <w:lang w:eastAsia="zh-CN"/>
        </w:rPr>
        <w:t>赠予），证号为历城集用（2013）第101217</w:t>
      </w:r>
      <w:r>
        <w:rPr>
          <w:rFonts w:hint="eastAsia" w:ascii="仿宋" w:hAnsi="仿宋" w:eastAsia="仿宋"/>
          <w:sz w:val="32"/>
          <w:szCs w:val="32"/>
          <w:lang w:val="en-US" w:eastAsia="zh-CN"/>
        </w:rPr>
        <w:t>****</w:t>
      </w:r>
      <w:r>
        <w:rPr>
          <w:rFonts w:hint="eastAsia" w:ascii="仿宋" w:hAnsi="仿宋" w:eastAsia="仿宋"/>
          <w:sz w:val="32"/>
          <w:szCs w:val="32"/>
          <w:lang w:eastAsia="zh-CN"/>
        </w:rPr>
        <w:t>号，宗地号为370112101217JC0</w:t>
      </w:r>
      <w:r>
        <w:rPr>
          <w:rFonts w:hint="eastAsia" w:ascii="仿宋" w:hAnsi="仿宋" w:eastAsia="仿宋"/>
          <w:sz w:val="32"/>
          <w:szCs w:val="32"/>
          <w:lang w:val="en-US" w:eastAsia="zh-CN"/>
        </w:rPr>
        <w:t>****</w:t>
      </w:r>
      <w:r>
        <w:rPr>
          <w:rFonts w:hint="eastAsia" w:ascii="仿宋" w:hAnsi="仿宋" w:eastAsia="仿宋"/>
          <w:sz w:val="32"/>
          <w:szCs w:val="32"/>
          <w:lang w:eastAsia="zh-CN"/>
        </w:rPr>
        <w:t>，上述两处宅基地房屋</w:t>
      </w:r>
      <w:r>
        <w:rPr>
          <w:rFonts w:hint="eastAsia" w:ascii="仿宋" w:hAnsi="仿宋" w:eastAsia="仿宋"/>
          <w:sz w:val="32"/>
          <w:szCs w:val="32"/>
        </w:rPr>
        <w:t>未被纳入拆迁范围</w:t>
      </w:r>
      <w:r>
        <w:rPr>
          <w:rFonts w:hint="eastAsia" w:ascii="仿宋" w:hAnsi="仿宋" w:eastAsia="仿宋"/>
          <w:sz w:val="32"/>
          <w:szCs w:val="32"/>
          <w:lang w:eastAsia="zh-CN"/>
        </w:rPr>
        <w:t>内</w:t>
      </w:r>
      <w:r>
        <w:rPr>
          <w:rFonts w:hint="eastAsia" w:ascii="仿宋" w:hAnsi="仿宋" w:eastAsia="仿宋"/>
          <w:sz w:val="32"/>
          <w:szCs w:val="32"/>
        </w:rPr>
        <w:t>，</w:t>
      </w:r>
      <w:r>
        <w:rPr>
          <w:rFonts w:hint="eastAsia" w:ascii="仿宋" w:hAnsi="仿宋" w:eastAsia="仿宋"/>
          <w:sz w:val="32"/>
          <w:szCs w:val="32"/>
          <w:lang w:eastAsia="zh-CN"/>
        </w:rPr>
        <w:t>未被拆除，</w:t>
      </w:r>
      <w:r>
        <w:rPr>
          <w:rFonts w:hint="eastAsia" w:ascii="仿宋" w:hAnsi="仿宋" w:eastAsia="仿宋"/>
          <w:sz w:val="32"/>
          <w:szCs w:val="32"/>
        </w:rPr>
        <w:t>由</w:t>
      </w:r>
      <w:r>
        <w:rPr>
          <w:rFonts w:hint="eastAsia" w:ascii="仿宋" w:hAnsi="仿宋" w:eastAsia="仿宋"/>
          <w:sz w:val="32"/>
          <w:szCs w:val="32"/>
          <w:lang w:val="en-US" w:eastAsia="zh-CN"/>
        </w:rPr>
        <w:t>申请人</w:t>
      </w:r>
      <w:r>
        <w:rPr>
          <w:rFonts w:hint="eastAsia" w:ascii="仿宋" w:hAnsi="仿宋" w:eastAsia="仿宋"/>
          <w:sz w:val="32"/>
          <w:szCs w:val="32"/>
        </w:rPr>
        <w:t>、韩</w:t>
      </w:r>
      <w:r>
        <w:rPr>
          <w:rFonts w:hint="eastAsia" w:ascii="仿宋" w:hAnsi="仿宋" w:eastAsia="仿宋"/>
          <w:sz w:val="32"/>
          <w:szCs w:val="32"/>
          <w:lang w:eastAsia="zh-CN"/>
        </w:rPr>
        <w:t>某</w:t>
      </w:r>
      <w:r>
        <w:rPr>
          <w:rFonts w:hint="eastAsia" w:ascii="仿宋" w:hAnsi="仿宋" w:eastAsia="仿宋"/>
          <w:sz w:val="32"/>
          <w:szCs w:val="32"/>
        </w:rPr>
        <w:t>永、韩</w:t>
      </w:r>
      <w:r>
        <w:rPr>
          <w:rFonts w:hint="eastAsia" w:ascii="仿宋" w:hAnsi="仿宋" w:eastAsia="仿宋"/>
          <w:sz w:val="32"/>
          <w:szCs w:val="32"/>
          <w:lang w:eastAsia="zh-CN"/>
        </w:rPr>
        <w:t>某</w:t>
      </w:r>
      <w:r>
        <w:rPr>
          <w:rFonts w:hint="eastAsia" w:ascii="仿宋" w:hAnsi="仿宋" w:eastAsia="仿宋"/>
          <w:sz w:val="32"/>
          <w:szCs w:val="32"/>
        </w:rPr>
        <w:t>强</w:t>
      </w:r>
      <w:r>
        <w:rPr>
          <w:rFonts w:hint="eastAsia" w:ascii="仿宋" w:hAnsi="仿宋" w:eastAsia="仿宋"/>
          <w:sz w:val="32"/>
          <w:szCs w:val="32"/>
          <w:lang w:eastAsia="zh-CN"/>
        </w:rPr>
        <w:t>及其家庭成员</w:t>
      </w:r>
      <w:r>
        <w:rPr>
          <w:rFonts w:hint="eastAsia" w:ascii="仿宋" w:hAnsi="仿宋" w:eastAsia="仿宋"/>
          <w:sz w:val="32"/>
          <w:szCs w:val="32"/>
        </w:rPr>
        <w:t>使用</w:t>
      </w:r>
      <w:r>
        <w:rPr>
          <w:rFonts w:hint="eastAsia" w:ascii="仿宋" w:hAnsi="仿宋" w:eastAsia="仿宋"/>
          <w:sz w:val="32"/>
          <w:szCs w:val="32"/>
          <w:lang w:eastAsia="zh-CN"/>
        </w:rPr>
        <w:t>至今</w:t>
      </w:r>
      <w:r>
        <w:rPr>
          <w:rFonts w:hint="eastAsia" w:ascii="仿宋" w:hAnsi="仿宋" w:eastAsia="仿宋"/>
          <w:sz w:val="32"/>
          <w:szCs w:val="32"/>
        </w:rPr>
        <w:t>。</w:t>
      </w:r>
    </w:p>
    <w:p w14:paraId="76FB3BD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 w:hAnsi="仿宋" w:eastAsia="仿宋"/>
          <w:sz w:val="32"/>
          <w:szCs w:val="32"/>
          <w:lang w:eastAsia="zh-CN"/>
        </w:rPr>
        <w:t>再查明，</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申请人及其子韩某强、韩某永以济南市南部山区管理委员会规划发展局、济南市历城区人民政府仲宫街道办事处为被告，向济南市历城区人民法院提起行政诉讼，请求撤销案涉房屋拆迁补偿协议。</w:t>
      </w:r>
    </w:p>
    <w:p w14:paraId="4D3698E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黑体" w:hAnsi="宋体" w:eastAsia="黑体" w:cs="黑体"/>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以上事实由申请人、被申请人提交的和本机关依法调取的证据材料予以证实。</w:t>
      </w:r>
    </w:p>
    <w:p w14:paraId="21AA2D6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黑体" w:hAnsi="宋体" w:eastAsia="黑体" w:cs="黑体"/>
          <w:b w:val="0"/>
          <w:bCs w:val="0"/>
          <w:color w:val="000000" w:themeColor="text1"/>
          <w:sz w:val="32"/>
          <w:szCs w:val="32"/>
          <w14:textFill>
            <w14:solidFill>
              <w14:schemeClr w14:val="tx1"/>
            </w14:solidFill>
          </w14:textFill>
        </w:rPr>
        <w:t>本机关认为</w:t>
      </w:r>
      <w:r>
        <w:rPr>
          <w:rFonts w:hint="eastAsia" w:ascii="黑体" w:hAnsi="宋体" w:eastAsia="黑体" w:cs="黑体"/>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根据《中华人民共和国治安管理处罚法》第二条、第七条规定，县级以上地方各级人民政府公安机关负责本行政区域内的治安管理工作。本案中，申请人向济南市公安局南部山区分局提交《查处申请书》，要求查处政府实施的农村集体土地征收程序中的相应行为，该拆除行为系行政行为，当时无治安案件正在发生，不属于治安案件范畴。申请人若认为案涉房屋存在被违法强拆的情形，应通过针对相关征收行为申请行政复议或提起行政诉讼的方式寻求救济。</w:t>
      </w:r>
    </w:p>
    <w:p w14:paraId="65D9697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w w:val="100"/>
          <w:kern w:val="0"/>
          <w:sz w:val="32"/>
          <w:szCs w:val="32"/>
          <w:highlight w:val="yellow"/>
          <w:lang w:val="en-US" w:eastAsia="zh-CN" w:bidi="ar"/>
          <w14:textFill>
            <w14:solidFill>
              <w14:schemeClr w14:val="tx1"/>
            </w14:solidFill>
          </w14:textFill>
        </w:rPr>
      </w:pP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中华人民共和国治安管理处罚法》第七十七条：“公安机关对报案、控告、举报或者违反治安管理行为人主动投案，以及其他行政主管部门、司法机关移送的违反治安管理案件，应当及时受理，并进行登记”，第七十八条：“公安机关受理报案、控告、举报、投案后，认为属于违反治安管理行为的，应当立即进行调查；认为不属于违反治安管理行为的，应当告知报案人、控告人、举报人、投案人，并说明理由”和《公安机关办理行政案件程序规定》第六十一条第一款第三项：“公安机关对不属于公安机关职责范围的报案、控告、举报等事项，在接报案时能够当场判断的，应当立即口头告知报案人、控告人、举报人向其他主管机关报案，报案人、控告人、举报人对口头告知内容有异议或者不能当场判断的，应当书面告知，但因没有联系方式、身份不明等客观原因无法书面告知的除外”。本案中，被申请人收到《查处申请书》后进行接收登记，通过当面、通话的方式口头告知申请人举报事项不属于公安机关管辖范围，未通过</w:t>
      </w:r>
      <w:bookmarkStart w:id="0" w:name="_GoBack"/>
      <w:bookmarkEnd w:id="0"/>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书面方式予以告知，不符合上述规定，存在程序瑕疵，但并未影响申请人的房屋拆迁补偿利益。</w:t>
      </w:r>
    </w:p>
    <w:p w14:paraId="06FE9FD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综上</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所述，</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根据《中华人民共和国行政复议法》第六十九条之规定，本机关决定如下：</w:t>
      </w:r>
    </w:p>
    <w:p w14:paraId="2EA54127">
      <w:pPr>
        <w:keepNext w:val="0"/>
        <w:keepLines w:val="0"/>
        <w:pageBreakBefore w:val="0"/>
        <w:widowControl/>
        <w:kinsoku/>
        <w:wordWrap w:val="0"/>
        <w:overflowPunct/>
        <w:topLinePunct w:val="0"/>
        <w:autoSpaceDE/>
        <w:autoSpaceDN/>
        <w:bidi w:val="0"/>
        <w:spacing w:beforeAutospacing="0" w:afterAutospacing="0" w:line="560" w:lineRule="exact"/>
        <w:ind w:firstLine="643"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eastAsia" w:ascii="仿宋_GB2312" w:eastAsia="仿宋_GB2312" w:cs="仿宋_GB2312" w:hAnsiTheme="minorHAnsi"/>
          <w:b/>
          <w:bCs/>
          <w:color w:val="000000" w:themeColor="text1"/>
          <w:kern w:val="0"/>
          <w:sz w:val="32"/>
          <w:szCs w:val="32"/>
          <w:lang w:val="en-US" w:eastAsia="zh-CN" w:bidi="ar-SA"/>
          <w14:textFill>
            <w14:solidFill>
              <w14:schemeClr w14:val="tx1"/>
            </w14:solidFill>
          </w14:textFill>
        </w:rPr>
        <w:t>驳回申请人的行政复议请求。</w:t>
      </w:r>
    </w:p>
    <w:p w14:paraId="1E60AE1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pP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申请人如不服本决定，可以自收到</w:t>
      </w:r>
      <w:r>
        <w:rPr>
          <w:rFonts w:hint="eastAsia"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本</w:t>
      </w:r>
      <w:r>
        <w:rPr>
          <w:rFonts w:hint="default" w:ascii="仿宋_GB2312" w:hAnsi="仿宋_GB2312" w:eastAsia="仿宋_GB2312" w:cs="仿宋_GB2312"/>
          <w:color w:val="000000" w:themeColor="text1"/>
          <w:w w:val="100"/>
          <w:kern w:val="0"/>
          <w:sz w:val="32"/>
          <w:szCs w:val="32"/>
          <w:lang w:val="en-US" w:eastAsia="zh-CN" w:bidi="ar"/>
          <w14:textFill>
            <w14:solidFill>
              <w14:schemeClr w14:val="tx1"/>
            </w14:solidFill>
          </w14:textFill>
        </w:rPr>
        <w:t>决定书之日起15日内，依法向人民法院提起行政诉讼。</w:t>
      </w:r>
    </w:p>
    <w:p w14:paraId="5F49F6D2">
      <w:pPr>
        <w:pStyle w:val="6"/>
        <w:keepNext w:val="0"/>
        <w:keepLines w:val="0"/>
        <w:pageBreakBefore w:val="0"/>
        <w:widowControl/>
        <w:kinsoku/>
        <w:wordWrap w:val="0"/>
        <w:overflowPunct/>
        <w:topLinePunct w:val="0"/>
        <w:autoSpaceDE/>
        <w:autoSpaceDN/>
        <w:bidi w:val="0"/>
        <w:spacing w:beforeAutospacing="0" w:afterAutospacing="0" w:line="560" w:lineRule="exact"/>
        <w:jc w:val="both"/>
        <w:textAlignment w:val="auto"/>
        <w:rPr>
          <w:rFonts w:ascii="仿宋_GB2312" w:hAnsi="Times New Roman" w:eastAsia="仿宋_GB2312" w:cs="仿宋_GB2312"/>
          <w:color w:val="000000" w:themeColor="text1"/>
          <w:sz w:val="32"/>
          <w:szCs w:val="32"/>
          <w14:textFill>
            <w14:solidFill>
              <w14:schemeClr w14:val="tx1"/>
            </w14:solidFill>
          </w14:textFill>
        </w:rPr>
      </w:pPr>
    </w:p>
    <w:p w14:paraId="339983A6">
      <w:pPr>
        <w:pStyle w:val="6"/>
        <w:keepNext w:val="0"/>
        <w:keepLines w:val="0"/>
        <w:pageBreakBefore w:val="0"/>
        <w:widowControl/>
        <w:kinsoku/>
        <w:wordWrap w:val="0"/>
        <w:overflowPunct/>
        <w:topLinePunct w:val="0"/>
        <w:autoSpaceDE/>
        <w:autoSpaceDN/>
        <w:bidi w:val="0"/>
        <w:spacing w:beforeAutospacing="0" w:afterAutospacing="0" w:line="560" w:lineRule="exact"/>
        <w:jc w:val="both"/>
        <w:textAlignment w:val="auto"/>
        <w:rPr>
          <w:rFonts w:ascii="仿宋_GB2312" w:hAnsi="Times New Roman" w:eastAsia="仿宋_GB2312" w:cs="仿宋_GB2312"/>
          <w:color w:val="000000" w:themeColor="text1"/>
          <w:sz w:val="32"/>
          <w:szCs w:val="32"/>
          <w14:textFill>
            <w14:solidFill>
              <w14:schemeClr w14:val="tx1"/>
            </w14:solidFill>
          </w14:textFill>
        </w:rPr>
      </w:pPr>
    </w:p>
    <w:p w14:paraId="18A7F3B8">
      <w:pPr>
        <w:pStyle w:val="6"/>
        <w:keepNext w:val="0"/>
        <w:keepLines w:val="0"/>
        <w:pageBreakBefore w:val="0"/>
        <w:widowControl/>
        <w:kinsoku/>
        <w:wordWrap w:val="0"/>
        <w:overflowPunct/>
        <w:topLinePunct w:val="0"/>
        <w:autoSpaceDE/>
        <w:autoSpaceDN/>
        <w:bidi w:val="0"/>
        <w:spacing w:beforeAutospacing="0" w:afterAutospacing="0" w:line="560" w:lineRule="exact"/>
        <w:ind w:firstLine="4160" w:firstLineChars="1300"/>
        <w:jc w:val="both"/>
        <w:textAlignment w:val="auto"/>
        <w:rPr>
          <w:rFonts w:ascii="仿宋_GB2312" w:hAnsi="Times New Roman" w:eastAsia="仿宋_GB2312" w:cs="仿宋_GB2312"/>
          <w:color w:val="000000" w:themeColor="text1"/>
          <w:sz w:val="32"/>
          <w:szCs w:val="32"/>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济南市南部山区管理委员会</w:t>
      </w:r>
    </w:p>
    <w:p w14:paraId="38FAB619">
      <w:pPr>
        <w:pStyle w:val="6"/>
        <w:keepNext w:val="0"/>
        <w:keepLines w:val="0"/>
        <w:pageBreakBefore w:val="0"/>
        <w:widowControl/>
        <w:kinsoku/>
        <w:wordWrap w:val="0"/>
        <w:overflowPunct/>
        <w:topLinePunct w:val="0"/>
        <w:autoSpaceDE/>
        <w:autoSpaceDN/>
        <w:bidi w:val="0"/>
        <w:spacing w:beforeAutospacing="0" w:afterAutospacing="0" w:line="560" w:lineRule="exact"/>
        <w:ind w:firstLine="4800" w:firstLineChars="1500"/>
        <w:jc w:val="both"/>
        <w:textAlignment w:val="auto"/>
        <w:rPr>
          <w:color w:val="000000" w:themeColor="text1"/>
          <w:w w:val="100"/>
          <w14:textFill>
            <w14:solidFill>
              <w14:schemeClr w14:val="tx1"/>
            </w14:solidFill>
          </w14:textFill>
        </w:rPr>
      </w:pPr>
      <w:r>
        <w:rPr>
          <w:rFonts w:ascii="仿宋_GB2312" w:hAnsi="Times New Roman" w:eastAsia="仿宋_GB2312" w:cs="仿宋_GB2312"/>
          <w:color w:val="000000" w:themeColor="text1"/>
          <w:sz w:val="32"/>
          <w:szCs w:val="32"/>
          <w14:textFill>
            <w14:solidFill>
              <w14:schemeClr w14:val="tx1"/>
            </w14:solidFill>
          </w14:textFill>
        </w:rPr>
        <w:t>202</w:t>
      </w:r>
      <w:r>
        <w:rPr>
          <w:rFonts w:hint="eastAsia" w:ascii="仿宋_GB2312" w:hAnsi="Times New Roman" w:eastAsia="仿宋_GB2312" w:cs="仿宋_GB2312"/>
          <w:color w:val="000000" w:themeColor="text1"/>
          <w:sz w:val="32"/>
          <w:szCs w:val="32"/>
          <w14:textFill>
            <w14:solidFill>
              <w14:schemeClr w14:val="tx1"/>
            </w14:solidFill>
          </w14:textFill>
        </w:rPr>
        <w:t>5</w:t>
      </w:r>
      <w:r>
        <w:rPr>
          <w:rFonts w:ascii="仿宋_GB2312" w:hAnsi="Times New Roman" w:eastAsia="仿宋_GB2312" w:cs="仿宋_GB2312"/>
          <w:color w:val="000000" w:themeColor="text1"/>
          <w:sz w:val="32"/>
          <w:szCs w:val="32"/>
          <w14:textFill>
            <w14:solidFill>
              <w14:schemeClr w14:val="tx1"/>
            </w14:solidFill>
          </w14:textFill>
        </w:rPr>
        <w:t>年</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ascii="仿宋_GB2312" w:hAnsi="Times New Roman" w:eastAsia="仿宋_GB2312" w:cs="仿宋_GB2312"/>
          <w:color w:val="000000" w:themeColor="text1"/>
          <w:sz w:val="32"/>
          <w:szCs w:val="32"/>
          <w14:textFill>
            <w14:solidFill>
              <w14:schemeClr w14:val="tx1"/>
            </w14:solidFill>
          </w14:textFill>
        </w:rPr>
        <w:t>月</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31</w:t>
      </w:r>
      <w:r>
        <w:rPr>
          <w:rFonts w:ascii="仿宋_GB2312" w:hAnsi="Times New Roman" w:eastAsia="仿宋_GB2312" w:cs="仿宋_GB2312"/>
          <w:color w:val="000000" w:themeColor="text1"/>
          <w:sz w:val="32"/>
          <w:szCs w:val="32"/>
          <w14:textFill>
            <w14:solidFill>
              <w14:schemeClr w14:val="tx1"/>
            </w14:solidFill>
          </w14:textFill>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7495BF-DFB6-4E08-927E-315CDB08CB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AB2A44-5596-40BD-B01C-2106280004A8}"/>
  </w:font>
  <w:font w:name="方正小标宋简体">
    <w:panose1 w:val="03000509000000000000"/>
    <w:charset w:val="86"/>
    <w:family w:val="auto"/>
    <w:pitch w:val="default"/>
    <w:sig w:usb0="00000001" w:usb1="080E0000" w:usb2="00000000" w:usb3="00000000" w:csb0="00040000" w:csb1="00000000"/>
    <w:embedRegular r:id="rId3" w:fontKey="{5862E455-154D-49EB-9C5B-E5500C9AA6D5}"/>
  </w:font>
  <w:font w:name="楷体_GB2312">
    <w:panose1 w:val="02010609030101010101"/>
    <w:charset w:val="86"/>
    <w:family w:val="auto"/>
    <w:pitch w:val="default"/>
    <w:sig w:usb0="00000001" w:usb1="080E0000" w:usb2="00000000" w:usb3="00000000" w:csb0="00040000" w:csb1="00000000"/>
    <w:embedRegular r:id="rId4" w:fontKey="{F647450A-9F5C-4CEF-A8BF-301997E21EA1}"/>
  </w:font>
  <w:font w:name="仿宋_GB2312">
    <w:panose1 w:val="02010609030101010101"/>
    <w:charset w:val="86"/>
    <w:family w:val="auto"/>
    <w:pitch w:val="default"/>
    <w:sig w:usb0="00000001" w:usb1="080E0000" w:usb2="00000000" w:usb3="00000000" w:csb0="00040000" w:csb1="00000000"/>
    <w:embedRegular r:id="rId5" w:fontKey="{B0A4B11A-B3DD-4EEF-B560-C96CF1D54D3F}"/>
  </w:font>
  <w:font w:name="仿宋">
    <w:panose1 w:val="02010609060101010101"/>
    <w:charset w:val="86"/>
    <w:family w:val="auto"/>
    <w:pitch w:val="default"/>
    <w:sig w:usb0="800002BF" w:usb1="38CF7CFA" w:usb2="00000016" w:usb3="00000000" w:csb0="00040001" w:csb1="00000000"/>
    <w:embedRegular r:id="rId6" w:fontKey="{2643C9DA-B6EB-4778-B971-CA46E24572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496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DB1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4DB1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WRiY2FkMWJkM2RlNDlkNWMxMjVlNTAzOWE5ZDcifQ=="/>
  </w:docVars>
  <w:rsids>
    <w:rsidRoot w:val="00000000"/>
    <w:rsid w:val="013656F7"/>
    <w:rsid w:val="02111B48"/>
    <w:rsid w:val="02EC0F70"/>
    <w:rsid w:val="062034C1"/>
    <w:rsid w:val="07A73E22"/>
    <w:rsid w:val="097A13F9"/>
    <w:rsid w:val="0A054A20"/>
    <w:rsid w:val="0A4353CE"/>
    <w:rsid w:val="0DB31D06"/>
    <w:rsid w:val="0E4635AA"/>
    <w:rsid w:val="0FDFBC62"/>
    <w:rsid w:val="0FFA82D2"/>
    <w:rsid w:val="0FFFE0D5"/>
    <w:rsid w:val="104E66AF"/>
    <w:rsid w:val="10F613F4"/>
    <w:rsid w:val="112B0A57"/>
    <w:rsid w:val="12C7600E"/>
    <w:rsid w:val="12E34E3B"/>
    <w:rsid w:val="13374174"/>
    <w:rsid w:val="13EF7620"/>
    <w:rsid w:val="14074B59"/>
    <w:rsid w:val="15804BC3"/>
    <w:rsid w:val="165A3666"/>
    <w:rsid w:val="17FDD619"/>
    <w:rsid w:val="1BAA0BEC"/>
    <w:rsid w:val="1E57436E"/>
    <w:rsid w:val="1EFFCDAC"/>
    <w:rsid w:val="1FA5C264"/>
    <w:rsid w:val="1FFFC06B"/>
    <w:rsid w:val="20BB0071"/>
    <w:rsid w:val="20EF35FE"/>
    <w:rsid w:val="232F19D7"/>
    <w:rsid w:val="2449715B"/>
    <w:rsid w:val="267FE9D6"/>
    <w:rsid w:val="28BD5758"/>
    <w:rsid w:val="2A701253"/>
    <w:rsid w:val="2DEDDF8D"/>
    <w:rsid w:val="2EB07FFF"/>
    <w:rsid w:val="2F1F7D07"/>
    <w:rsid w:val="2FAA12AE"/>
    <w:rsid w:val="32096F6B"/>
    <w:rsid w:val="321A37C8"/>
    <w:rsid w:val="3225581D"/>
    <w:rsid w:val="338342F3"/>
    <w:rsid w:val="371B42F4"/>
    <w:rsid w:val="377A7460"/>
    <w:rsid w:val="3991089E"/>
    <w:rsid w:val="39CA2A08"/>
    <w:rsid w:val="39DB10EC"/>
    <w:rsid w:val="3A8B505D"/>
    <w:rsid w:val="3B25CCEF"/>
    <w:rsid w:val="3B277C09"/>
    <w:rsid w:val="3B67DD73"/>
    <w:rsid w:val="3B783AC3"/>
    <w:rsid w:val="3BBBC1A2"/>
    <w:rsid w:val="3CFF8DC2"/>
    <w:rsid w:val="3DF72CFA"/>
    <w:rsid w:val="3DFD5266"/>
    <w:rsid w:val="3EB875EB"/>
    <w:rsid w:val="3ED61F50"/>
    <w:rsid w:val="3EF77971"/>
    <w:rsid w:val="3EFF15C4"/>
    <w:rsid w:val="3EFF76AA"/>
    <w:rsid w:val="3FFFFF1D"/>
    <w:rsid w:val="41D40880"/>
    <w:rsid w:val="42E70AD3"/>
    <w:rsid w:val="437F16F7"/>
    <w:rsid w:val="45B27121"/>
    <w:rsid w:val="4767DC20"/>
    <w:rsid w:val="47FF4DE8"/>
    <w:rsid w:val="492F528F"/>
    <w:rsid w:val="49BA174B"/>
    <w:rsid w:val="49BD7AB1"/>
    <w:rsid w:val="4AEB13DD"/>
    <w:rsid w:val="4BFFF867"/>
    <w:rsid w:val="4C9A47F0"/>
    <w:rsid w:val="4F0E5F33"/>
    <w:rsid w:val="4F779730"/>
    <w:rsid w:val="5167505A"/>
    <w:rsid w:val="51BD384A"/>
    <w:rsid w:val="544E2B08"/>
    <w:rsid w:val="55E414EF"/>
    <w:rsid w:val="55FA2598"/>
    <w:rsid w:val="58391F21"/>
    <w:rsid w:val="58EB5414"/>
    <w:rsid w:val="59DFBBB9"/>
    <w:rsid w:val="5BA2745D"/>
    <w:rsid w:val="5BFFDE3A"/>
    <w:rsid w:val="5D87405D"/>
    <w:rsid w:val="5DEF542C"/>
    <w:rsid w:val="5E1021A6"/>
    <w:rsid w:val="5E113BD7"/>
    <w:rsid w:val="5E982B36"/>
    <w:rsid w:val="5EFF1F6A"/>
    <w:rsid w:val="5F67BAE2"/>
    <w:rsid w:val="5FBF6F56"/>
    <w:rsid w:val="5FDD07E8"/>
    <w:rsid w:val="5FEFF253"/>
    <w:rsid w:val="61CAF66A"/>
    <w:rsid w:val="64FF3B6E"/>
    <w:rsid w:val="65366B3E"/>
    <w:rsid w:val="65EC3F7E"/>
    <w:rsid w:val="65FDA8F3"/>
    <w:rsid w:val="66B50838"/>
    <w:rsid w:val="66BF6C81"/>
    <w:rsid w:val="67065B78"/>
    <w:rsid w:val="67AFBBB1"/>
    <w:rsid w:val="67BC2E06"/>
    <w:rsid w:val="67FD4296"/>
    <w:rsid w:val="695B21AB"/>
    <w:rsid w:val="6B3DD404"/>
    <w:rsid w:val="6B5E5F82"/>
    <w:rsid w:val="6B7D7A63"/>
    <w:rsid w:val="6CD15615"/>
    <w:rsid w:val="6DDFBD31"/>
    <w:rsid w:val="6DE6BAC5"/>
    <w:rsid w:val="6E7F55E1"/>
    <w:rsid w:val="6EFE135B"/>
    <w:rsid w:val="6F4A79DA"/>
    <w:rsid w:val="6F8FD9AC"/>
    <w:rsid w:val="6FB5F658"/>
    <w:rsid w:val="6FF203D6"/>
    <w:rsid w:val="6FFDEFAB"/>
    <w:rsid w:val="70F516F4"/>
    <w:rsid w:val="70FDAEF9"/>
    <w:rsid w:val="71C853A4"/>
    <w:rsid w:val="71FE0323"/>
    <w:rsid w:val="729BB1EA"/>
    <w:rsid w:val="7374314D"/>
    <w:rsid w:val="7420471D"/>
    <w:rsid w:val="74671EAE"/>
    <w:rsid w:val="75897CC2"/>
    <w:rsid w:val="760337F1"/>
    <w:rsid w:val="76EEAA0C"/>
    <w:rsid w:val="77DF2213"/>
    <w:rsid w:val="77F3F1A6"/>
    <w:rsid w:val="77F761F8"/>
    <w:rsid w:val="77FF0533"/>
    <w:rsid w:val="78C366F7"/>
    <w:rsid w:val="78CF57FF"/>
    <w:rsid w:val="78E14002"/>
    <w:rsid w:val="79BB6B4A"/>
    <w:rsid w:val="79E7CF32"/>
    <w:rsid w:val="7A6E0498"/>
    <w:rsid w:val="7AFEE68F"/>
    <w:rsid w:val="7B5F4C3F"/>
    <w:rsid w:val="7B735A7A"/>
    <w:rsid w:val="7B85312D"/>
    <w:rsid w:val="7BE334A4"/>
    <w:rsid w:val="7CD767B8"/>
    <w:rsid w:val="7CE36871"/>
    <w:rsid w:val="7D996361"/>
    <w:rsid w:val="7DD5701E"/>
    <w:rsid w:val="7DFE1F04"/>
    <w:rsid w:val="7E9FC772"/>
    <w:rsid w:val="7EA5150D"/>
    <w:rsid w:val="7EC00FD6"/>
    <w:rsid w:val="7EDEF77A"/>
    <w:rsid w:val="7EF5DFCA"/>
    <w:rsid w:val="7EFD929E"/>
    <w:rsid w:val="7EFECC1F"/>
    <w:rsid w:val="7F2E05A1"/>
    <w:rsid w:val="7F324B64"/>
    <w:rsid w:val="7FBDAE6D"/>
    <w:rsid w:val="7FBF571A"/>
    <w:rsid w:val="7FD59BF5"/>
    <w:rsid w:val="7FDB1AEF"/>
    <w:rsid w:val="7FDDE2DD"/>
    <w:rsid w:val="7FDF4A14"/>
    <w:rsid w:val="7FEEB918"/>
    <w:rsid w:val="7FEFFAA0"/>
    <w:rsid w:val="7FFB0565"/>
    <w:rsid w:val="7FFF5343"/>
    <w:rsid w:val="83CE0629"/>
    <w:rsid w:val="874DD22D"/>
    <w:rsid w:val="9E7D3321"/>
    <w:rsid w:val="9EFFD541"/>
    <w:rsid w:val="9FDF956F"/>
    <w:rsid w:val="A36BE39C"/>
    <w:rsid w:val="A5FE07E6"/>
    <w:rsid w:val="A6728D30"/>
    <w:rsid w:val="A7DBDFF7"/>
    <w:rsid w:val="AFF99150"/>
    <w:rsid w:val="B5ED4978"/>
    <w:rsid w:val="B9FF0533"/>
    <w:rsid w:val="BBFD9F3E"/>
    <w:rsid w:val="BCFBC816"/>
    <w:rsid w:val="BD6F6DAA"/>
    <w:rsid w:val="BF7DABF7"/>
    <w:rsid w:val="BF7F5B52"/>
    <w:rsid w:val="BFAF1888"/>
    <w:rsid w:val="BFDE0A40"/>
    <w:rsid w:val="C77F1313"/>
    <w:rsid w:val="CB751F2E"/>
    <w:rsid w:val="CBFF7B28"/>
    <w:rsid w:val="CC26B60D"/>
    <w:rsid w:val="CCDACD29"/>
    <w:rsid w:val="CFFF288A"/>
    <w:rsid w:val="D4ED360E"/>
    <w:rsid w:val="D97DB7E7"/>
    <w:rsid w:val="DBBB50A6"/>
    <w:rsid w:val="DCFCDC30"/>
    <w:rsid w:val="DF591F81"/>
    <w:rsid w:val="DFBD86C1"/>
    <w:rsid w:val="DFF0E225"/>
    <w:rsid w:val="DFFBCEB7"/>
    <w:rsid w:val="E4EF136C"/>
    <w:rsid w:val="E5FF9F64"/>
    <w:rsid w:val="E6CBFB57"/>
    <w:rsid w:val="E7DFFAFD"/>
    <w:rsid w:val="ECFBE886"/>
    <w:rsid w:val="ED5CD962"/>
    <w:rsid w:val="ED5F5882"/>
    <w:rsid w:val="EF7F214A"/>
    <w:rsid w:val="EFBF0FFE"/>
    <w:rsid w:val="EFD54570"/>
    <w:rsid w:val="EFFBF442"/>
    <w:rsid w:val="F2D3104E"/>
    <w:rsid w:val="F5FB54CA"/>
    <w:rsid w:val="F677B3A9"/>
    <w:rsid w:val="F7F3B0E8"/>
    <w:rsid w:val="F93FB11F"/>
    <w:rsid w:val="F97D6959"/>
    <w:rsid w:val="FA3F007F"/>
    <w:rsid w:val="FA5DF287"/>
    <w:rsid w:val="FA9ED2BD"/>
    <w:rsid w:val="FB33B442"/>
    <w:rsid w:val="FBFBF515"/>
    <w:rsid w:val="FCD149E4"/>
    <w:rsid w:val="FD8D01CC"/>
    <w:rsid w:val="FDFF9BEC"/>
    <w:rsid w:val="FE7B9042"/>
    <w:rsid w:val="FEAF6B32"/>
    <w:rsid w:val="FEB7C287"/>
    <w:rsid w:val="FEB96D58"/>
    <w:rsid w:val="FEC2ABF4"/>
    <w:rsid w:val="FED32AE6"/>
    <w:rsid w:val="FEF94781"/>
    <w:rsid w:val="FEFF1F6F"/>
    <w:rsid w:val="FF3F2E2C"/>
    <w:rsid w:val="FF718806"/>
    <w:rsid w:val="FF871C19"/>
    <w:rsid w:val="FFC5BE78"/>
    <w:rsid w:val="FFCFE0FF"/>
    <w:rsid w:val="FFD95CC8"/>
    <w:rsid w:val="FFDC7777"/>
    <w:rsid w:val="FFDE5331"/>
    <w:rsid w:val="FFED3E47"/>
    <w:rsid w:val="FFF9F280"/>
    <w:rsid w:val="FFFE3AED"/>
    <w:rsid w:val="FFFF890E"/>
    <w:rsid w:val="FFFF9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eastAsia="宋体" w:cs="Times New Roman"/>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4365</Words>
  <Characters>4669</Characters>
  <Lines>0</Lines>
  <Paragraphs>0</Paragraphs>
  <TotalTime>12</TotalTime>
  <ScaleCrop>false</ScaleCrop>
  <LinksUpToDate>false</LinksUpToDate>
  <CharactersWithSpaces>4669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2024-11-29T15:03:00Z</dcterms:created>
  <dc:creator>HP</dc:creator>
  <cp:lastModifiedBy>Bei贝</cp:lastModifiedBy>
  <dcterms:modified xsi:type="dcterms:W3CDTF">2025-12-31T02:30:10Z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ABA6820B17E64012A3560A5FEF3666E3_13</vt:lpwstr>
  </property>
  <property fmtid="{D5CDD505-2E9C-101B-9397-08002B2CF9AE}" pid="4" name="KSOTemplateDocerSaveRecord">
    <vt:lpwstr>eyJoZGlkIjoiZTBiYzAyNTViNWQ2NzBiOWU4ZTQ2MmRhNTU3ODg2NjQiLCJ1c2VySWQiOiI0MjQ4ODQ0ODkifQ==</vt:lpwstr>
  </property>
</Properties>
</file>